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581F8" w14:textId="77777777" w:rsidR="00673864" w:rsidRPr="00673864" w:rsidRDefault="00673864" w:rsidP="00673864">
      <w:pPr>
        <w:widowControl w:val="0"/>
        <w:jc w:val="right"/>
        <w:rPr>
          <w:rFonts w:ascii="Calibri" w:eastAsia="Calibri" w:hAnsi="Calibri"/>
          <w:sz w:val="24"/>
          <w:szCs w:val="24"/>
          <w:lang w:val="en-US" w:eastAsia="es-ES"/>
        </w:rPr>
      </w:pPr>
      <w:r w:rsidRPr="00673864">
        <w:rPr>
          <w:rFonts w:ascii="Calibri" w:eastAsia="Calibri" w:hAnsi="Calibri"/>
          <w:sz w:val="24"/>
          <w:szCs w:val="24"/>
          <w:lang w:val="en-US" w:eastAsia="es-ES"/>
        </w:rPr>
        <w:t>Original Article</w:t>
      </w:r>
    </w:p>
    <w:p w14:paraId="583319E6" w14:textId="77777777" w:rsidR="00673864" w:rsidRDefault="00673864" w:rsidP="00673864">
      <w:pPr>
        <w:ind w:firstLine="0"/>
        <w:jc w:val="right"/>
        <w:rPr>
          <w:rFonts w:ascii="Calibri" w:eastAsia="Times New Roman" w:hAnsi="Calibri" w:cs="Calibri"/>
          <w:b/>
          <w:bCs/>
          <w:szCs w:val="28"/>
          <w:lang w:val="en-US" w:eastAsia="es-ES"/>
        </w:rPr>
      </w:pPr>
    </w:p>
    <w:p w14:paraId="3779CD5A" w14:textId="73E94CC5" w:rsidR="00C069B7" w:rsidRPr="00673864" w:rsidRDefault="00C069B7" w:rsidP="00673864">
      <w:pPr>
        <w:ind w:firstLine="0"/>
        <w:jc w:val="center"/>
        <w:rPr>
          <w:rFonts w:ascii="Calibri" w:eastAsia="Times New Roman" w:hAnsi="Calibri" w:cs="Calibri"/>
          <w:b/>
          <w:bCs/>
          <w:szCs w:val="28"/>
          <w:lang w:val="en-US" w:eastAsia="es-ES"/>
        </w:rPr>
      </w:pPr>
      <w:r w:rsidRPr="00673864">
        <w:rPr>
          <w:rFonts w:ascii="Calibri" w:eastAsia="Times New Roman" w:hAnsi="Calibri" w:cs="Calibri"/>
          <w:b/>
          <w:bCs/>
          <w:szCs w:val="28"/>
          <w:lang w:val="en-US" w:eastAsia="es-ES"/>
        </w:rPr>
        <w:t>Knowledge Evolution in Self-Determination Theory Research in Higher Education: A Longitudinal Bibliometric Analysis of Scholarship</w:t>
      </w:r>
    </w:p>
    <w:p w14:paraId="02854146" w14:textId="7406EBC9" w:rsidR="00C069B7" w:rsidRPr="00673864" w:rsidRDefault="00C069B7" w:rsidP="00673864">
      <w:pPr>
        <w:ind w:firstLine="0"/>
        <w:jc w:val="center"/>
        <w:rPr>
          <w:rFonts w:ascii="Calibri" w:eastAsia="Times New Roman" w:hAnsi="Calibri" w:cs="Calibri"/>
          <w:b/>
          <w:bCs/>
          <w:szCs w:val="28"/>
          <w:lang w:val="es-ES" w:eastAsia="es-ES"/>
        </w:rPr>
      </w:pPr>
      <w:r w:rsidRPr="00673864">
        <w:rPr>
          <w:rFonts w:ascii="Calibri" w:eastAsia="Times New Roman" w:hAnsi="Calibri" w:cs="Calibri"/>
          <w:b/>
          <w:bCs/>
          <w:szCs w:val="28"/>
          <w:lang w:val="es-ES" w:eastAsia="es-ES"/>
        </w:rPr>
        <w:t>Evolución del conocimiento sobre la teoría de la autodeterminación en educación superior: un análisis bibliométrico longitudinal</w:t>
      </w:r>
    </w:p>
    <w:p w14:paraId="6699C270" w14:textId="77777777" w:rsidR="003D6E94" w:rsidRPr="00673864" w:rsidRDefault="003D6E94" w:rsidP="00673864">
      <w:pPr>
        <w:ind w:firstLine="0"/>
        <w:jc w:val="center"/>
        <w:rPr>
          <w:rFonts w:ascii="Calibri" w:eastAsia="Calibri" w:hAnsi="Calibri" w:cs="Calibri"/>
          <w:color w:val="0070C0"/>
          <w:szCs w:val="28"/>
          <w:lang w:val="es-ES"/>
        </w:rPr>
      </w:pPr>
    </w:p>
    <w:p w14:paraId="33C53182" w14:textId="3485FB9D" w:rsidR="003D6E94" w:rsidRPr="00673864" w:rsidRDefault="00C72694" w:rsidP="00673864">
      <w:pPr>
        <w:ind w:firstLine="0"/>
        <w:rPr>
          <w:rFonts w:ascii="Calibri" w:eastAsia="SimSun" w:hAnsi="Calibri" w:cs="Calibri"/>
          <w:sz w:val="24"/>
          <w:szCs w:val="24"/>
          <w:vertAlign w:val="superscript"/>
          <w:lang w:val="en-US" w:eastAsia="zh-CN"/>
        </w:rPr>
      </w:pPr>
      <w:r w:rsidRPr="00673864">
        <w:rPr>
          <w:rFonts w:ascii="Calibri" w:hAnsi="Calibri" w:cs="Calibri"/>
          <w:bCs/>
          <w:sz w:val="24"/>
          <w:szCs w:val="24"/>
          <w:lang w:val="en-US"/>
        </w:rPr>
        <w:t>Yifan Zhang</w:t>
      </w:r>
      <w:r w:rsidRPr="00673864">
        <w:rPr>
          <w:rFonts w:ascii="Calibri" w:eastAsia="Calibri" w:hAnsi="Calibri" w:cs="Calibri"/>
          <w:sz w:val="24"/>
          <w:szCs w:val="24"/>
          <w:vertAlign w:val="superscript"/>
          <w:lang w:val="en-US"/>
        </w:rPr>
        <w:t>1</w:t>
      </w:r>
      <w:r w:rsidR="005F48A3" w:rsidRPr="00673864">
        <w:rPr>
          <w:rFonts w:ascii="Calibri" w:eastAsia="Calibri" w:hAnsi="Calibri" w:cs="Calibri"/>
          <w:sz w:val="24"/>
          <w:szCs w:val="24"/>
          <w:vertAlign w:val="superscript"/>
          <w:lang w:val="en-US"/>
        </w:rPr>
        <w:t>,</w:t>
      </w:r>
      <w:r w:rsidRPr="00673864">
        <w:rPr>
          <w:rFonts w:ascii="Calibri" w:eastAsia="SimSun" w:hAnsi="Calibri" w:cs="Calibri"/>
          <w:sz w:val="24"/>
          <w:szCs w:val="24"/>
          <w:vertAlign w:val="superscript"/>
          <w:lang w:val="en-US" w:eastAsia="zh-CN"/>
        </w:rPr>
        <w:t>2</w:t>
      </w:r>
      <w:r w:rsidR="00673864">
        <w:rPr>
          <w:rFonts w:ascii="Calibri" w:eastAsia="SimSun" w:hAnsi="Calibri" w:cs="Calibri"/>
          <w:sz w:val="24"/>
          <w:szCs w:val="24"/>
          <w:vertAlign w:val="superscript"/>
          <w:lang w:val="en-US" w:eastAsia="zh-CN"/>
        </w:rPr>
        <w:t>*</w:t>
      </w:r>
    </w:p>
    <w:p w14:paraId="2F091481" w14:textId="77777777" w:rsidR="003D6E94" w:rsidRPr="00673864" w:rsidRDefault="00C72694" w:rsidP="00673864">
      <w:pPr>
        <w:ind w:firstLine="0"/>
        <w:rPr>
          <w:rFonts w:ascii="Calibri" w:eastAsia="Times New Roman" w:hAnsi="Calibri" w:cs="Calibri"/>
          <w:b/>
          <w:bCs/>
          <w:sz w:val="24"/>
          <w:szCs w:val="24"/>
          <w:lang w:val="pt-BR" w:eastAsia="ru-RU"/>
        </w:rPr>
      </w:pPr>
      <w:r w:rsidRPr="00673864">
        <w:rPr>
          <w:rFonts w:ascii="Calibri" w:eastAsia="Times New Roman" w:hAnsi="Calibri" w:cs="Calibri"/>
          <w:b/>
          <w:bCs/>
          <w:sz w:val="24"/>
          <w:szCs w:val="24"/>
          <w:lang w:val="pt-BR" w:eastAsia="ru-RU"/>
        </w:rPr>
        <w:t xml:space="preserve">E-mail: </w:t>
      </w:r>
      <w:r w:rsidRPr="00673864">
        <w:rPr>
          <w:rStyle w:val="Hipervnculo"/>
          <w:rFonts w:ascii="Calibri" w:hAnsi="Calibri" w:cs="Calibri"/>
          <w:sz w:val="24"/>
          <w:szCs w:val="24"/>
          <w:lang w:val="pt-BR" w:eastAsia="ru-RU"/>
        </w:rPr>
        <w:t>zhangyifan3402@gmail.com</w:t>
      </w:r>
      <w:r w:rsidRPr="00673864">
        <w:rPr>
          <w:rFonts w:ascii="Calibri" w:eastAsia="Times New Roman" w:hAnsi="Calibri" w:cs="Calibri"/>
          <w:bCs/>
          <w:color w:val="0070C0"/>
          <w:sz w:val="24"/>
          <w:szCs w:val="24"/>
          <w:lang w:val="pt-BR" w:eastAsia="ru-RU"/>
        </w:rPr>
        <w:t xml:space="preserve"> </w:t>
      </w:r>
    </w:p>
    <w:p w14:paraId="0A646F42" w14:textId="77777777" w:rsidR="003D6E94" w:rsidRPr="00673864" w:rsidRDefault="00C72694" w:rsidP="00673864">
      <w:pPr>
        <w:ind w:firstLine="0"/>
        <w:rPr>
          <w:rFonts w:ascii="Calibri" w:hAnsi="Calibri" w:cs="Calibri"/>
          <w:sz w:val="24"/>
          <w:szCs w:val="24"/>
          <w:lang w:val="pt-BR"/>
        </w:rPr>
      </w:pPr>
      <w:r w:rsidRPr="00673864">
        <w:rPr>
          <w:rFonts w:ascii="Calibri" w:eastAsia="Times New Roman" w:hAnsi="Calibri" w:cs="Calibri"/>
          <w:b/>
          <w:bCs/>
          <w:sz w:val="24"/>
          <w:szCs w:val="24"/>
          <w:lang w:val="pt-BR" w:eastAsia="ru-RU"/>
        </w:rPr>
        <w:t>ORCID:</w:t>
      </w:r>
      <w:r w:rsidRPr="00673864">
        <w:rPr>
          <w:rFonts w:ascii="Calibri" w:hAnsi="Calibri" w:cs="Calibri"/>
          <w:sz w:val="24"/>
          <w:szCs w:val="24"/>
          <w:lang w:val="pt-BR"/>
        </w:rPr>
        <w:t xml:space="preserve"> </w:t>
      </w:r>
      <w:hyperlink r:id="rId7" w:history="1">
        <w:r w:rsidRPr="00673864">
          <w:rPr>
            <w:rStyle w:val="Hipervnculo"/>
            <w:rFonts w:ascii="Calibri" w:hAnsi="Calibri" w:cs="Calibri"/>
            <w:sz w:val="24"/>
            <w:szCs w:val="24"/>
            <w:lang w:val="pt-BR"/>
          </w:rPr>
          <w:t>https://orcid.org/0009-0004-9405-7776</w:t>
        </w:r>
      </w:hyperlink>
      <w:r w:rsidRPr="00673864">
        <w:rPr>
          <w:rFonts w:ascii="Calibri" w:hAnsi="Calibri" w:cs="Calibri"/>
          <w:color w:val="0070C0"/>
          <w:sz w:val="24"/>
          <w:szCs w:val="24"/>
          <w:lang w:val="pt-BR"/>
        </w:rPr>
        <w:t xml:space="preserve"> </w:t>
      </w:r>
    </w:p>
    <w:p w14:paraId="4A0CFB03" w14:textId="18D07CDE" w:rsidR="003D6E94" w:rsidRPr="00673864" w:rsidRDefault="00C72694" w:rsidP="00673864">
      <w:pPr>
        <w:ind w:firstLine="0"/>
        <w:rPr>
          <w:rFonts w:ascii="Calibri" w:eastAsia="Calibri" w:hAnsi="Calibri" w:cs="Calibri"/>
          <w:sz w:val="24"/>
          <w:szCs w:val="24"/>
          <w:vertAlign w:val="superscript"/>
          <w:lang w:val="id-ID"/>
        </w:rPr>
      </w:pPr>
      <w:bookmarkStart w:id="0" w:name="_Hlk238596584"/>
      <w:r w:rsidRPr="00673864">
        <w:rPr>
          <w:rFonts w:ascii="Calibri" w:hAnsi="Calibri" w:cs="Calibri"/>
          <w:bCs/>
          <w:sz w:val="24"/>
          <w:szCs w:val="24"/>
          <w:lang w:val="pt-BR"/>
        </w:rPr>
        <w:t>Ahmad Zamri Khairani</w:t>
      </w:r>
      <w:r w:rsidR="005F48A3" w:rsidRPr="00673864">
        <w:rPr>
          <w:rFonts w:ascii="Calibri" w:hAnsi="Calibri" w:cs="Calibri"/>
          <w:bCs/>
          <w:sz w:val="24"/>
          <w:szCs w:val="24"/>
          <w:vertAlign w:val="superscript"/>
          <w:lang w:val="pt-BR"/>
        </w:rPr>
        <w:t>3</w:t>
      </w:r>
      <w:bookmarkEnd w:id="0"/>
    </w:p>
    <w:p w14:paraId="6F06793B" w14:textId="77777777" w:rsidR="003D6E94" w:rsidRPr="00673864" w:rsidRDefault="00C72694" w:rsidP="00673864">
      <w:pPr>
        <w:ind w:firstLine="0"/>
        <w:rPr>
          <w:rFonts w:ascii="Calibri" w:eastAsia="Times New Roman" w:hAnsi="Calibri" w:cs="Calibri"/>
          <w:b/>
          <w:bCs/>
          <w:sz w:val="24"/>
          <w:szCs w:val="24"/>
          <w:lang w:val="pt-BR" w:eastAsia="ru-RU"/>
        </w:rPr>
      </w:pPr>
      <w:r w:rsidRPr="00673864">
        <w:rPr>
          <w:rFonts w:ascii="Calibri" w:eastAsia="Times New Roman" w:hAnsi="Calibri" w:cs="Calibri"/>
          <w:b/>
          <w:bCs/>
          <w:sz w:val="24"/>
          <w:szCs w:val="24"/>
          <w:lang w:val="id-ID" w:eastAsia="ru-RU"/>
        </w:rPr>
        <w:t>E-mail:</w:t>
      </w:r>
      <w:r w:rsidRPr="00673864">
        <w:rPr>
          <w:rFonts w:ascii="Calibri" w:hAnsi="Calibri" w:cs="Calibri"/>
          <w:sz w:val="24"/>
          <w:szCs w:val="24"/>
          <w:lang w:val="id-ID"/>
        </w:rPr>
        <w:t xml:space="preserve"> </w:t>
      </w:r>
      <w:r w:rsidRPr="00673864">
        <w:rPr>
          <w:rStyle w:val="Hipervnculo"/>
          <w:rFonts w:ascii="Calibri" w:hAnsi="Calibri" w:cs="Calibri"/>
          <w:sz w:val="24"/>
          <w:szCs w:val="24"/>
          <w:lang w:val="pt-BR" w:eastAsia="ru-RU"/>
        </w:rPr>
        <w:t>ahmadzamri@usm.my</w:t>
      </w:r>
      <w:r w:rsidRPr="00673864">
        <w:rPr>
          <w:rFonts w:ascii="Calibri" w:hAnsi="Calibri" w:cs="Calibri"/>
          <w:color w:val="0070C0"/>
          <w:sz w:val="24"/>
          <w:szCs w:val="24"/>
          <w:lang w:val="id-ID"/>
        </w:rPr>
        <w:t xml:space="preserve"> </w:t>
      </w:r>
    </w:p>
    <w:p w14:paraId="6665AFC9" w14:textId="05845E94" w:rsidR="003D6E94" w:rsidRDefault="00C72694" w:rsidP="00673864">
      <w:pPr>
        <w:ind w:firstLine="0"/>
        <w:rPr>
          <w:rFonts w:ascii="Calibri" w:hAnsi="Calibri" w:cs="Calibri"/>
          <w:color w:val="0070C0"/>
          <w:sz w:val="24"/>
          <w:szCs w:val="24"/>
          <w:lang w:val="id-ID"/>
        </w:rPr>
      </w:pPr>
      <w:r w:rsidRPr="00673864">
        <w:rPr>
          <w:rFonts w:ascii="Calibri" w:eastAsia="Times New Roman" w:hAnsi="Calibri" w:cs="Calibri"/>
          <w:b/>
          <w:bCs/>
          <w:sz w:val="24"/>
          <w:szCs w:val="24"/>
          <w:lang w:val="id-ID" w:eastAsia="ru-RU"/>
        </w:rPr>
        <w:t>ORCID:</w:t>
      </w:r>
      <w:r w:rsidRPr="00673864">
        <w:rPr>
          <w:rFonts w:ascii="Calibri" w:hAnsi="Calibri" w:cs="Calibri"/>
          <w:sz w:val="24"/>
          <w:szCs w:val="24"/>
          <w:lang w:val="id-ID"/>
        </w:rPr>
        <w:t xml:space="preserve"> </w:t>
      </w:r>
      <w:hyperlink r:id="rId8" w:history="1">
        <w:r w:rsidRPr="00673864">
          <w:rPr>
            <w:rStyle w:val="Hipervnculo"/>
            <w:rFonts w:ascii="Calibri" w:hAnsi="Calibri" w:cs="Calibri"/>
            <w:sz w:val="24"/>
            <w:szCs w:val="24"/>
            <w:lang w:val="id-ID"/>
          </w:rPr>
          <w:t>https://orcid.org/0000-0002-3832-8103</w:t>
        </w:r>
      </w:hyperlink>
      <w:r w:rsidRPr="00673864">
        <w:rPr>
          <w:rFonts w:ascii="Calibri" w:hAnsi="Calibri" w:cs="Calibri"/>
          <w:color w:val="0070C0"/>
          <w:sz w:val="24"/>
          <w:szCs w:val="24"/>
          <w:lang w:val="id-ID"/>
        </w:rPr>
        <w:t xml:space="preserve"> </w:t>
      </w:r>
    </w:p>
    <w:p w14:paraId="422CF8A1" w14:textId="77777777" w:rsidR="00673864" w:rsidRPr="00673864" w:rsidRDefault="00673864" w:rsidP="00673864">
      <w:pPr>
        <w:ind w:firstLine="0"/>
        <w:rPr>
          <w:rFonts w:ascii="Calibri" w:eastAsia="SimSun" w:hAnsi="Calibri" w:cs="Calibri"/>
          <w:sz w:val="24"/>
          <w:szCs w:val="24"/>
          <w:lang w:val="id-ID" w:eastAsia="zh-CN" w:bidi="hi-IN"/>
        </w:rPr>
      </w:pPr>
    </w:p>
    <w:p w14:paraId="6615ACD3" w14:textId="19B03200" w:rsidR="003D6E94" w:rsidRPr="00673864" w:rsidRDefault="00C72694" w:rsidP="00673864">
      <w:pPr>
        <w:ind w:firstLine="0"/>
        <w:rPr>
          <w:rFonts w:ascii="Calibri" w:eastAsia="Calibri" w:hAnsi="Calibri" w:cs="Calibri"/>
          <w:sz w:val="24"/>
          <w:szCs w:val="24"/>
          <w:lang w:val="en-US"/>
        </w:rPr>
      </w:pPr>
      <w:r w:rsidRPr="00673864">
        <w:rPr>
          <w:rFonts w:ascii="Calibri" w:eastAsia="Times New Roman" w:hAnsi="Calibri" w:cs="Calibri"/>
          <w:sz w:val="24"/>
          <w:szCs w:val="24"/>
          <w:vertAlign w:val="superscript"/>
          <w:lang w:val="en-US" w:eastAsia="ru-RU"/>
        </w:rPr>
        <w:t>1</w:t>
      </w:r>
      <w:r w:rsidRPr="00673864">
        <w:rPr>
          <w:rFonts w:ascii="Calibri" w:eastAsia="Times New Roman" w:hAnsi="Calibri" w:cs="Calibri"/>
          <w:sz w:val="24"/>
          <w:szCs w:val="24"/>
          <w:lang w:val="en-US" w:eastAsia="ru-RU"/>
        </w:rPr>
        <w:t xml:space="preserve"> National Higher Education Research Institute (IP</w:t>
      </w:r>
      <w:r w:rsidR="0082636F">
        <w:rPr>
          <w:rFonts w:ascii="Calibri" w:eastAsia="Times New Roman" w:hAnsi="Calibri" w:cs="Calibri"/>
          <w:sz w:val="24"/>
          <w:szCs w:val="24"/>
          <w:lang w:val="en-US" w:eastAsia="ru-RU"/>
        </w:rPr>
        <w:t>PTN).</w:t>
      </w:r>
      <w:r w:rsidR="00673864">
        <w:rPr>
          <w:rFonts w:ascii="Calibri" w:eastAsia="Times New Roman" w:hAnsi="Calibri" w:cs="Calibri"/>
          <w:sz w:val="24"/>
          <w:szCs w:val="24"/>
          <w:lang w:val="en-US" w:eastAsia="ru-RU"/>
        </w:rPr>
        <w:t xml:space="preserve"> Universiti Sains Malaysia No. 10. Persiaran Bukit Jambul 11900 Bayan Lepas. Penang.</w:t>
      </w:r>
      <w:r w:rsidR="0082636F">
        <w:rPr>
          <w:rFonts w:ascii="Calibri" w:eastAsia="Times New Roman" w:hAnsi="Calibri" w:cs="Calibri"/>
          <w:sz w:val="24"/>
          <w:szCs w:val="24"/>
          <w:lang w:val="en-US" w:eastAsia="ru-RU"/>
        </w:rPr>
        <w:t xml:space="preserve"> Malaysia</w:t>
      </w:r>
    </w:p>
    <w:p w14:paraId="68940FB0" w14:textId="1F9C4EE0" w:rsidR="003D6E94" w:rsidRPr="00673864" w:rsidRDefault="00C72694" w:rsidP="00673864">
      <w:pPr>
        <w:ind w:firstLine="0"/>
        <w:rPr>
          <w:rFonts w:ascii="Calibri" w:eastAsia="Calibri" w:hAnsi="Calibri" w:cs="Calibri"/>
          <w:sz w:val="24"/>
          <w:szCs w:val="24"/>
          <w:lang w:val="en-US"/>
        </w:rPr>
      </w:pPr>
      <w:r w:rsidRPr="00673864">
        <w:rPr>
          <w:rFonts w:ascii="Calibri" w:eastAsia="Times New Roman" w:hAnsi="Calibri" w:cs="Calibri"/>
          <w:sz w:val="24"/>
          <w:szCs w:val="24"/>
          <w:vertAlign w:val="superscript"/>
          <w:lang w:val="en-US" w:eastAsia="ru-RU"/>
        </w:rPr>
        <w:t>2</w:t>
      </w:r>
      <w:r w:rsidRPr="00673864">
        <w:rPr>
          <w:rFonts w:ascii="Calibri" w:eastAsia="Times New Roman" w:hAnsi="Calibri" w:cs="Calibri"/>
          <w:sz w:val="24"/>
          <w:szCs w:val="24"/>
          <w:lang w:val="en-US" w:eastAsia="ru-RU"/>
        </w:rPr>
        <w:t xml:space="preserve"> Chengdu Po</w:t>
      </w:r>
      <w:r w:rsidR="00673864">
        <w:rPr>
          <w:rFonts w:ascii="Calibri" w:eastAsia="Times New Roman" w:hAnsi="Calibri" w:cs="Calibri"/>
          <w:sz w:val="24"/>
          <w:szCs w:val="24"/>
          <w:lang w:val="en-US" w:eastAsia="ru-RU"/>
        </w:rPr>
        <w:t>lytechnic, No. 83 Tianyi Street</w:t>
      </w:r>
      <w:r w:rsidRPr="00673864">
        <w:rPr>
          <w:rFonts w:ascii="Calibri" w:eastAsia="Times New Roman" w:hAnsi="Calibri" w:cs="Calibri"/>
          <w:sz w:val="24"/>
          <w:szCs w:val="24"/>
          <w:lang w:val="en-US" w:eastAsia="ru-RU"/>
        </w:rPr>
        <w:t xml:space="preserve"> High-Tech Zone</w:t>
      </w:r>
      <w:r w:rsidR="00673864">
        <w:rPr>
          <w:rFonts w:ascii="Calibri" w:eastAsia="Times New Roman" w:hAnsi="Calibri" w:cs="Calibri"/>
          <w:sz w:val="24"/>
          <w:szCs w:val="24"/>
          <w:lang w:val="en-US" w:eastAsia="ru-RU"/>
        </w:rPr>
        <w:t>. Chengdu. Sichuan 610041.</w:t>
      </w:r>
      <w:r w:rsidR="0082636F">
        <w:rPr>
          <w:rFonts w:ascii="Calibri" w:eastAsia="Times New Roman" w:hAnsi="Calibri" w:cs="Calibri"/>
          <w:sz w:val="24"/>
          <w:szCs w:val="24"/>
          <w:lang w:val="en-US" w:eastAsia="ru-RU"/>
        </w:rPr>
        <w:t xml:space="preserve"> China</w:t>
      </w:r>
    </w:p>
    <w:p w14:paraId="132AC881" w14:textId="0E55E0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vertAlign w:val="superscript"/>
          <w:lang w:val="en-US" w:eastAsia="ru-RU"/>
        </w:rPr>
        <w:t>3</w:t>
      </w:r>
      <w:r w:rsidRPr="00673864">
        <w:rPr>
          <w:rFonts w:ascii="Calibri" w:eastAsia="Times New Roman" w:hAnsi="Calibri" w:cs="Calibri"/>
          <w:sz w:val="24"/>
          <w:szCs w:val="24"/>
          <w:lang w:val="en-US" w:eastAsia="ru-RU"/>
        </w:rPr>
        <w:t xml:space="preserve"> School of Educational Stu</w:t>
      </w:r>
      <w:r w:rsidR="00673864">
        <w:rPr>
          <w:rFonts w:ascii="Calibri" w:eastAsia="Times New Roman" w:hAnsi="Calibri" w:cs="Calibri"/>
          <w:sz w:val="24"/>
          <w:szCs w:val="24"/>
          <w:lang w:val="en-US" w:eastAsia="ru-RU"/>
        </w:rPr>
        <w:t>dies, Universiti Sains Malaysia.</w:t>
      </w:r>
      <w:r w:rsidR="0082636F">
        <w:rPr>
          <w:rFonts w:ascii="Calibri" w:eastAsia="Times New Roman" w:hAnsi="Calibri" w:cs="Calibri"/>
          <w:sz w:val="24"/>
          <w:szCs w:val="24"/>
          <w:lang w:val="en-US" w:eastAsia="ru-RU"/>
        </w:rPr>
        <w:t xml:space="preserve"> 11800 Penang, Malaysia</w:t>
      </w:r>
    </w:p>
    <w:p w14:paraId="760CA107" w14:textId="0EA63E6A" w:rsidR="003D6E94" w:rsidRDefault="003D6E94" w:rsidP="00673864">
      <w:pPr>
        <w:ind w:firstLine="0"/>
        <w:rPr>
          <w:rFonts w:ascii="Calibri" w:hAnsi="Calibri" w:cs="Calibri"/>
          <w:b/>
          <w:bCs/>
          <w:sz w:val="24"/>
          <w:szCs w:val="24"/>
          <w:lang w:val="id-ID"/>
        </w:rPr>
      </w:pPr>
    </w:p>
    <w:p w14:paraId="1AB53383" w14:textId="6FFB0ADA" w:rsidR="00673864" w:rsidRPr="00673864" w:rsidRDefault="00673864" w:rsidP="00673864">
      <w:pPr>
        <w:ind w:firstLine="0"/>
        <w:rPr>
          <w:rFonts w:ascii="Calibri" w:hAnsi="Calibri" w:cs="Calibri"/>
          <w:bCs/>
          <w:sz w:val="24"/>
          <w:szCs w:val="24"/>
          <w:lang w:val="en-US"/>
        </w:rPr>
      </w:pPr>
      <w:r w:rsidRPr="00673864">
        <w:rPr>
          <w:rFonts w:ascii="Calibri" w:hAnsi="Calibri" w:cs="Calibri"/>
          <w:sz w:val="24"/>
          <w:szCs w:val="24"/>
          <w:lang w:val="en-US"/>
        </w:rPr>
        <w:t xml:space="preserve">*Corresponding author: </w:t>
      </w:r>
      <w:r w:rsidRPr="00673864">
        <w:rPr>
          <w:rFonts w:ascii="Calibri" w:hAnsi="Calibri" w:cs="Calibri"/>
          <w:bCs/>
          <w:sz w:val="24"/>
          <w:szCs w:val="24"/>
          <w:lang w:val="en-US"/>
        </w:rPr>
        <w:t>Yifan Zhang</w:t>
      </w:r>
      <w:r w:rsidR="003E7185">
        <w:rPr>
          <w:rFonts w:ascii="Calibri" w:hAnsi="Calibri" w:cs="Calibri"/>
          <w:bCs/>
          <w:sz w:val="24"/>
          <w:szCs w:val="24"/>
          <w:lang w:val="en-US"/>
        </w:rPr>
        <w:t>.</w:t>
      </w:r>
      <w:bookmarkStart w:id="1" w:name="_GoBack"/>
      <w:bookmarkEnd w:id="1"/>
      <w:r>
        <w:rPr>
          <w:rFonts w:ascii="Calibri" w:hAnsi="Calibri" w:cs="Calibri"/>
          <w:bCs/>
          <w:sz w:val="24"/>
          <w:szCs w:val="24"/>
          <w:lang w:val="en-US"/>
        </w:rPr>
        <w:t xml:space="preserve"> e</w:t>
      </w:r>
      <w:r w:rsidRPr="00673864">
        <w:rPr>
          <w:rFonts w:ascii="Calibri" w:hAnsi="Calibri" w:cs="Calibri"/>
          <w:bCs/>
          <w:sz w:val="24"/>
          <w:szCs w:val="24"/>
          <w:lang w:val="en-US"/>
        </w:rPr>
        <w:t>-mail: zhangyifan3402@gmail.com</w:t>
      </w:r>
    </w:p>
    <w:p w14:paraId="0FCB82C3" w14:textId="456937DB" w:rsidR="00673864" w:rsidRDefault="00673864" w:rsidP="00673864">
      <w:pPr>
        <w:ind w:firstLine="0"/>
        <w:rPr>
          <w:rFonts w:ascii="Calibri" w:hAnsi="Calibri" w:cs="Calibri"/>
          <w:b/>
          <w:bCs/>
          <w:sz w:val="24"/>
          <w:szCs w:val="24"/>
          <w:lang w:val="en-US"/>
        </w:rPr>
      </w:pPr>
    </w:p>
    <w:p w14:paraId="220C0A78" w14:textId="77777777" w:rsidR="00673864" w:rsidRPr="00673864" w:rsidRDefault="00673864" w:rsidP="00673864">
      <w:pPr>
        <w:autoSpaceDE w:val="0"/>
        <w:autoSpaceDN w:val="0"/>
        <w:adjustRightInd w:val="0"/>
        <w:ind w:firstLine="0"/>
        <w:rPr>
          <w:rFonts w:ascii="Calibri" w:eastAsia="Calibri" w:hAnsi="Calibri" w:cs="Calibri"/>
          <w:b/>
          <w:bCs/>
          <w:sz w:val="24"/>
          <w:szCs w:val="24"/>
          <w:lang w:val="id-ID" w:eastAsia="ru-RU"/>
        </w:rPr>
      </w:pPr>
      <w:r w:rsidRPr="00673864">
        <w:rPr>
          <w:rFonts w:ascii="Calibri" w:eastAsia="Calibri" w:hAnsi="Calibri" w:cs="Calibri"/>
          <w:b/>
          <w:bCs/>
          <w:sz w:val="24"/>
          <w:szCs w:val="24"/>
          <w:lang w:val="id-ID" w:eastAsia="ru-RU"/>
        </w:rPr>
        <w:t>Suggested citation (APA, seventh ed.)</w:t>
      </w:r>
    </w:p>
    <w:p w14:paraId="7090B169" w14:textId="0673E945" w:rsidR="00673864" w:rsidRDefault="00673864" w:rsidP="00673864">
      <w:pPr>
        <w:ind w:left="709" w:hanging="709"/>
        <w:rPr>
          <w:rFonts w:ascii="Calibri" w:eastAsia="Times New Roman" w:hAnsi="Calibri" w:cs="Calibri"/>
          <w:sz w:val="24"/>
          <w:szCs w:val="24"/>
          <w:lang w:val="id-ID" w:eastAsia="ru-RU"/>
        </w:rPr>
      </w:pPr>
      <w:r w:rsidRPr="00673864">
        <w:rPr>
          <w:rFonts w:ascii="Calibri" w:hAnsi="Calibri" w:cs="Calibri"/>
          <w:bCs/>
          <w:sz w:val="24"/>
          <w:szCs w:val="24"/>
          <w:lang w:val="en-US"/>
        </w:rPr>
        <w:t>Zhang</w:t>
      </w:r>
      <w:r>
        <w:rPr>
          <w:rFonts w:ascii="Calibri" w:hAnsi="Calibri" w:cs="Calibri"/>
          <w:bCs/>
          <w:sz w:val="24"/>
          <w:szCs w:val="24"/>
          <w:lang w:val="en-US"/>
        </w:rPr>
        <w:t>, Y</w:t>
      </w:r>
      <w:r w:rsidRPr="00673864">
        <w:rPr>
          <w:rFonts w:ascii="Calibri" w:eastAsia="Times New Roman" w:hAnsi="Calibri" w:cs="Calibri"/>
          <w:sz w:val="24"/>
          <w:szCs w:val="24"/>
          <w:lang w:val="en-US" w:eastAsia="ru-RU"/>
        </w:rPr>
        <w:t>.</w:t>
      </w:r>
      <w:r>
        <w:rPr>
          <w:rFonts w:ascii="Calibri" w:eastAsia="Times New Roman" w:hAnsi="Calibri" w:cs="Calibri"/>
          <w:sz w:val="24"/>
          <w:szCs w:val="24"/>
          <w:lang w:val="en-US" w:eastAsia="ru-RU"/>
        </w:rPr>
        <w:t xml:space="preserve">, &amp; </w:t>
      </w:r>
      <w:r w:rsidRPr="00673864">
        <w:rPr>
          <w:rFonts w:ascii="Calibri" w:hAnsi="Calibri" w:cs="Calibri"/>
          <w:bCs/>
          <w:sz w:val="24"/>
          <w:szCs w:val="24"/>
          <w:lang w:val="pt-BR"/>
        </w:rPr>
        <w:t>Zamri Khairani</w:t>
      </w:r>
      <w:r>
        <w:rPr>
          <w:rFonts w:ascii="Calibri" w:hAnsi="Calibri" w:cs="Calibri"/>
          <w:bCs/>
          <w:sz w:val="24"/>
          <w:szCs w:val="24"/>
          <w:lang w:val="pt-BR"/>
        </w:rPr>
        <w:t>, A</w:t>
      </w:r>
      <w:r w:rsidRPr="00673864">
        <w:rPr>
          <w:rFonts w:ascii="Calibri" w:eastAsia="Times New Roman" w:hAnsi="Calibri" w:cs="Calibri"/>
          <w:sz w:val="24"/>
          <w:szCs w:val="24"/>
          <w:lang w:val="en-US" w:eastAsia="ru-RU"/>
        </w:rPr>
        <w:t xml:space="preserve"> </w:t>
      </w:r>
      <w:r w:rsidRPr="00673864">
        <w:rPr>
          <w:rFonts w:ascii="Calibri" w:eastAsia="Times New Roman" w:hAnsi="Calibri" w:cs="Calibri"/>
          <w:sz w:val="24"/>
          <w:szCs w:val="24"/>
          <w:lang w:val="id-ID" w:eastAsia="ru-RU"/>
        </w:rPr>
        <w:t xml:space="preserve">(2026). Knowledge Evolution in Self-Determination Theory Research in Higher Education: A Longitudinal Bibliometric Analysis of Scholarship. </w:t>
      </w:r>
      <w:r w:rsidRPr="00673864">
        <w:rPr>
          <w:rFonts w:ascii="Calibri" w:eastAsia="Times New Roman" w:hAnsi="Calibri" w:cs="Calibri"/>
          <w:i/>
          <w:sz w:val="24"/>
          <w:szCs w:val="24"/>
          <w:lang w:val="id-ID" w:eastAsia="ru-RU"/>
        </w:rPr>
        <w:t>Revista Conrado, 22</w:t>
      </w:r>
      <w:r w:rsidRPr="00673864">
        <w:rPr>
          <w:rFonts w:ascii="Calibri" w:eastAsia="Times New Roman" w:hAnsi="Calibri" w:cs="Calibri"/>
          <w:sz w:val="24"/>
          <w:szCs w:val="24"/>
          <w:lang w:val="id-ID" w:eastAsia="ru-RU"/>
        </w:rPr>
        <w:t>(11</w:t>
      </w:r>
      <w:r>
        <w:rPr>
          <w:rFonts w:ascii="Calibri" w:eastAsia="Times New Roman" w:hAnsi="Calibri" w:cs="Calibri"/>
          <w:sz w:val="24"/>
          <w:szCs w:val="24"/>
          <w:lang w:val="en-US" w:eastAsia="ru-RU"/>
        </w:rPr>
        <w:t>3</w:t>
      </w:r>
      <w:r w:rsidRPr="00673864">
        <w:rPr>
          <w:rFonts w:ascii="Calibri" w:eastAsia="Times New Roman" w:hAnsi="Calibri" w:cs="Calibri"/>
          <w:sz w:val="24"/>
          <w:szCs w:val="24"/>
          <w:lang w:val="id-ID" w:eastAsia="ru-RU"/>
        </w:rPr>
        <w:t>), e</w:t>
      </w:r>
    </w:p>
    <w:p w14:paraId="27C89EFC" w14:textId="77777777" w:rsidR="00673864" w:rsidRPr="00673864" w:rsidRDefault="00673864" w:rsidP="00673864">
      <w:pPr>
        <w:ind w:firstLine="0"/>
        <w:rPr>
          <w:rFonts w:ascii="Calibri" w:hAnsi="Calibri" w:cs="Calibri"/>
          <w:b/>
          <w:bCs/>
          <w:sz w:val="24"/>
          <w:szCs w:val="24"/>
          <w:lang w:val="en-US"/>
        </w:rPr>
      </w:pPr>
    </w:p>
    <w:p w14:paraId="4A713210" w14:textId="535A3AAF" w:rsidR="004907F9" w:rsidRPr="00673864" w:rsidRDefault="00673864" w:rsidP="00673864">
      <w:pPr>
        <w:ind w:firstLine="0"/>
        <w:rPr>
          <w:rFonts w:ascii="Calibri" w:eastAsia="Calibri" w:hAnsi="Calibri" w:cs="Calibri"/>
          <w:b/>
          <w:bCs/>
          <w:sz w:val="24"/>
          <w:szCs w:val="24"/>
          <w:lang w:val="id-ID"/>
        </w:rPr>
      </w:pPr>
      <w:r w:rsidRPr="00673864">
        <w:rPr>
          <w:rFonts w:ascii="Calibri" w:eastAsia="Calibri" w:hAnsi="Calibri" w:cs="Calibri"/>
          <w:b/>
          <w:bCs/>
          <w:sz w:val="24"/>
          <w:szCs w:val="24"/>
          <w:lang w:val="id-ID"/>
        </w:rPr>
        <w:t>Abstract</w:t>
      </w:r>
    </w:p>
    <w:p w14:paraId="5D8A87A5" w14:textId="3FA8D146" w:rsidR="003D6E94" w:rsidRPr="00673864" w:rsidRDefault="00C72694" w:rsidP="00673864">
      <w:pPr>
        <w:ind w:firstLine="0"/>
        <w:rPr>
          <w:rFonts w:ascii="Calibri" w:hAnsi="Calibri" w:cs="Calibri"/>
          <w:bCs/>
          <w:sz w:val="24"/>
          <w:szCs w:val="24"/>
          <w:lang w:val="en-US"/>
        </w:rPr>
      </w:pPr>
      <w:r w:rsidRPr="00673864">
        <w:rPr>
          <w:rFonts w:ascii="Calibri" w:hAnsi="Calibri" w:cs="Calibri"/>
          <w:bCs/>
          <w:iCs/>
          <w:sz w:val="24"/>
          <w:szCs w:val="24"/>
          <w:lang w:val="id-ID"/>
        </w:rPr>
        <w:t xml:space="preserve">Self-Determination Theory (SDT) has become a prominent framework in higher education research to explain student motivation, engagement, and well-being, particularly amid the expansion of online and hybrid learning and inclusivity agendas. Yet SDT-related knowledge in higher education is distributed </w:t>
      </w:r>
      <w:r w:rsidRPr="00673864">
        <w:rPr>
          <w:rFonts w:ascii="Calibri" w:hAnsi="Calibri" w:cs="Calibri"/>
          <w:bCs/>
          <w:iCs/>
          <w:sz w:val="24"/>
          <w:szCs w:val="24"/>
          <w:lang w:val="id-ID"/>
        </w:rPr>
        <w:lastRenderedPageBreak/>
        <w:t>across increasingly diverse application contexts, making it difficult to determine how thematic continuity, diversification, and structural integration have developed over time. This study examines the longitudinal development of knowledge surrounding SDT in higher education through a bibliometric approach. Using a reproducible search and screening workflow in Scopus (retrieved on 29 August 2024; final dataset: 862 records), we conduct (i) performance analysis of publication growth, citations, and leading contributors and (ii) science mapping using co-word thematic mapping and thematic evolution (Bibliometrix/Biblioshiny, complemented by data cleaning via OpenRefine and biblioMagika). Results show sharp post-2010 growth and a stable SDT-related conceptual reference point alongside the expansion and differentiated positioning of applied themes centered on motivation-related outcomes, inclusive education, and digitally mediated learning. The strategic maps further indicate that some application themes became internally developed and structurally connected, whereas others remained specialized or peripheral. This study offers a longitudinal account of knowledge development around SDT, clarifying the relationship between contextual expansion and selective structural integration while preserving the distinction between changes in the scholarship and changes in the theory itself.</w:t>
      </w:r>
    </w:p>
    <w:p w14:paraId="001D01C6" w14:textId="558C1954" w:rsidR="003D6E94" w:rsidRPr="00673864" w:rsidRDefault="00C72694" w:rsidP="00673864">
      <w:pPr>
        <w:ind w:firstLine="0"/>
        <w:rPr>
          <w:rFonts w:ascii="Calibri" w:hAnsi="Calibri" w:cs="Calibri"/>
          <w:sz w:val="24"/>
          <w:szCs w:val="24"/>
          <w:lang w:val="en-US"/>
        </w:rPr>
      </w:pPr>
      <w:r w:rsidRPr="00673864">
        <w:rPr>
          <w:rFonts w:ascii="Calibri" w:eastAsia="Calibri" w:hAnsi="Calibri" w:cs="Calibri"/>
          <w:b/>
          <w:bCs/>
          <w:sz w:val="24"/>
          <w:szCs w:val="24"/>
          <w:lang w:val="id-ID"/>
        </w:rPr>
        <w:t>Keywords:</w:t>
      </w:r>
      <w:r w:rsidRPr="00673864">
        <w:rPr>
          <w:rFonts w:ascii="Calibri" w:hAnsi="Calibri" w:cs="Calibri"/>
          <w:sz w:val="24"/>
          <w:szCs w:val="24"/>
          <w:lang w:val="en-US"/>
        </w:rPr>
        <w:t xml:space="preserve"> Self-</w:t>
      </w:r>
      <w:r w:rsidR="004907F9" w:rsidRPr="00673864">
        <w:rPr>
          <w:rFonts w:ascii="Calibri" w:hAnsi="Calibri" w:cs="Calibri"/>
          <w:sz w:val="24"/>
          <w:szCs w:val="24"/>
          <w:lang w:val="en-US"/>
        </w:rPr>
        <w:t xml:space="preserve">determination theory, </w:t>
      </w:r>
      <w:r w:rsidR="00673864">
        <w:rPr>
          <w:rFonts w:ascii="Calibri" w:hAnsi="Calibri" w:cs="Calibri"/>
          <w:sz w:val="24"/>
          <w:szCs w:val="24"/>
          <w:lang w:val="en-US"/>
        </w:rPr>
        <w:t>Higher education, Bibliometric analysis, Thematic evolution, A</w:t>
      </w:r>
      <w:r w:rsidR="0082636F">
        <w:rPr>
          <w:rFonts w:ascii="Calibri" w:hAnsi="Calibri" w:cs="Calibri"/>
          <w:sz w:val="24"/>
          <w:szCs w:val="24"/>
          <w:lang w:val="en-US"/>
        </w:rPr>
        <w:t>cademic motivation</w:t>
      </w:r>
    </w:p>
    <w:p w14:paraId="082A7D03" w14:textId="77777777" w:rsidR="004907F9" w:rsidRPr="00673864" w:rsidRDefault="004907F9" w:rsidP="00673864">
      <w:pPr>
        <w:ind w:firstLine="0"/>
        <w:rPr>
          <w:rFonts w:ascii="Calibri" w:hAnsi="Calibri" w:cs="Calibri"/>
          <w:sz w:val="24"/>
          <w:szCs w:val="24"/>
          <w:lang w:val="en-US"/>
        </w:rPr>
      </w:pPr>
    </w:p>
    <w:p w14:paraId="701CD4FB" w14:textId="0F11A5B4" w:rsidR="004907F9" w:rsidRPr="00673864" w:rsidRDefault="00673864" w:rsidP="00673864">
      <w:pPr>
        <w:pStyle w:val="NormalWeb"/>
        <w:ind w:firstLine="0"/>
        <w:rPr>
          <w:rFonts w:ascii="Calibri" w:hAnsi="Calibri" w:cs="Calibri"/>
          <w:b/>
          <w:bCs/>
          <w:lang w:val="es-ES"/>
        </w:rPr>
      </w:pPr>
      <w:r w:rsidRPr="00673864">
        <w:rPr>
          <w:rFonts w:ascii="Calibri" w:hAnsi="Calibri" w:cs="Calibri"/>
          <w:b/>
          <w:bCs/>
          <w:lang w:val="id-ID"/>
        </w:rPr>
        <w:t>Resumen</w:t>
      </w:r>
    </w:p>
    <w:p w14:paraId="58486518" w14:textId="1D2388A9" w:rsidR="00C069B7" w:rsidRPr="00673864" w:rsidRDefault="00C069B7" w:rsidP="00673864">
      <w:pPr>
        <w:pStyle w:val="NormalWeb"/>
        <w:ind w:firstLine="0"/>
        <w:rPr>
          <w:rFonts w:ascii="Calibri" w:eastAsia="Times New Roman" w:hAnsi="Calibri" w:cs="Calibri"/>
          <w:lang w:val="es-ES" w:eastAsia="ru-RU"/>
        </w:rPr>
      </w:pPr>
      <w:r w:rsidRPr="00673864">
        <w:rPr>
          <w:rFonts w:ascii="Calibri" w:eastAsia="Times New Roman" w:hAnsi="Calibri" w:cs="Calibri"/>
          <w:lang w:val="es-ES" w:eastAsia="ru-RU"/>
        </w:rPr>
        <w:t>La Teoría de la Autodeterminación (TAD) se ha consolidado como un marco destacado en la investigación sobre educación superior para explicar la motivación, el compromiso (engagement) y el bienestar de los estudiantes, especialmente en el contexto de la expansión del aprendizaje en línea e híbrido y de las agendas de inclusión. No obstante, el conocimiento vinculado a la TAD en la educación superior se distribuye entre contextos de aplicación cada vez más diversos, lo que dificulta determinar cómo han evolucionado la continuidad temática, la diversificación y la integración estructural a lo largo del tiempo. Este estudio examina el desarrollo longitudinal del conocimiento en torno a la TAD en la educación superior mediante un enfoque bibliométrico. A partir de un flujo de trabajo reproducible de búsqueda y cribado en Scopus (consulta realizada el 29 de agosto de 2024; conjunto de datos final: 862 registros), se llevó a cabo (i) un análisis de desempeño del crecimiento de las publicaciones, las citas y los principales contribuyentes, y (ii) un mapeo científico basado en el análisis de co-palabras mediante mapas temáticos y evolución temática (Bibliometrix/Biblioshiny, complementado con la depuración de datos a través de OpenRefine y biblioMagika). Los resultados muestran un marcado crecimiento a partir de 2010 y un punto de referencia conceptual estable asociado a la TAD, junto con la expansión y el posicionamiento diferenciado de temas aplicados centrados en los resultados relacionados con la motivación, la educación inclusiva y el aprendizaje mediado digitalmente. Los mapas estratégicos indican, además, que algunos temas de aplicación alcanzaron un desarrollo interno y una conexión estructural, mientras que otros permanecieron especializados o periféricos. Este estudio ofrece una descripción longitudinal del desarrollo del conocimiento en torno a la TAD, esclareciendo la relación entre la expansión contextual y la integración estructural selectiva, al tiempo que preserva la distinción entre los cambios en la producción académica y los cambios en la teoría misma.</w:t>
      </w:r>
    </w:p>
    <w:p w14:paraId="02EB0E89" w14:textId="63DB4E6A" w:rsidR="00C069B7" w:rsidRPr="00673864" w:rsidRDefault="00C069B7" w:rsidP="00673864">
      <w:pPr>
        <w:ind w:firstLine="0"/>
        <w:rPr>
          <w:rFonts w:ascii="Calibri" w:hAnsi="Calibri" w:cs="Calibri"/>
          <w:b/>
          <w:bCs/>
          <w:sz w:val="24"/>
          <w:szCs w:val="24"/>
          <w:lang w:val="id-ID"/>
        </w:rPr>
      </w:pPr>
      <w:r w:rsidRPr="00673864">
        <w:rPr>
          <w:rFonts w:ascii="Calibri" w:eastAsia="Calibri" w:hAnsi="Calibri" w:cs="Calibri"/>
          <w:b/>
          <w:bCs/>
          <w:sz w:val="24"/>
          <w:szCs w:val="24"/>
          <w:lang w:val="id-ID"/>
        </w:rPr>
        <w:t>Palabras clave:</w:t>
      </w:r>
      <w:r w:rsidRPr="00673864">
        <w:rPr>
          <w:rFonts w:ascii="Calibri" w:hAnsi="Calibri" w:cs="Calibri"/>
          <w:b/>
          <w:bCs/>
          <w:sz w:val="24"/>
          <w:szCs w:val="24"/>
          <w:lang w:val="id-ID"/>
        </w:rPr>
        <w:t xml:space="preserve"> </w:t>
      </w:r>
      <w:r w:rsidRPr="00673864">
        <w:rPr>
          <w:rFonts w:ascii="Calibri" w:hAnsi="Calibri" w:cs="Calibri"/>
          <w:sz w:val="24"/>
          <w:szCs w:val="24"/>
          <w:lang w:val="id-ID"/>
        </w:rPr>
        <w:t xml:space="preserve">Teoría de </w:t>
      </w:r>
      <w:r w:rsidR="004907F9" w:rsidRPr="00673864">
        <w:rPr>
          <w:rFonts w:ascii="Calibri" w:hAnsi="Calibri" w:cs="Calibri"/>
          <w:sz w:val="24"/>
          <w:szCs w:val="24"/>
          <w:lang w:val="id-ID"/>
        </w:rPr>
        <w:t>la autodeterminación</w:t>
      </w:r>
      <w:r w:rsidR="004907F9" w:rsidRPr="00673864">
        <w:rPr>
          <w:rFonts w:ascii="Calibri" w:hAnsi="Calibri" w:cs="Calibri"/>
          <w:sz w:val="24"/>
          <w:szCs w:val="24"/>
          <w:lang w:val="es-ES"/>
        </w:rPr>
        <w:t>,</w:t>
      </w:r>
      <w:r w:rsidR="004907F9" w:rsidRPr="00673864">
        <w:rPr>
          <w:rFonts w:ascii="Calibri" w:hAnsi="Calibri" w:cs="Calibri"/>
          <w:sz w:val="24"/>
          <w:szCs w:val="24"/>
          <w:lang w:val="id-ID"/>
        </w:rPr>
        <w:t xml:space="preserve"> </w:t>
      </w:r>
      <w:r w:rsidR="00673864" w:rsidRPr="00673864">
        <w:rPr>
          <w:rFonts w:ascii="Calibri" w:hAnsi="Calibri" w:cs="Calibri"/>
          <w:sz w:val="24"/>
          <w:szCs w:val="24"/>
          <w:lang w:val="id-ID"/>
        </w:rPr>
        <w:t>Educación S</w:t>
      </w:r>
      <w:r w:rsidR="004907F9" w:rsidRPr="00673864">
        <w:rPr>
          <w:rFonts w:ascii="Calibri" w:hAnsi="Calibri" w:cs="Calibri"/>
          <w:sz w:val="24"/>
          <w:szCs w:val="24"/>
          <w:lang w:val="id-ID"/>
        </w:rPr>
        <w:t>uperior</w:t>
      </w:r>
      <w:r w:rsidR="004907F9" w:rsidRPr="00673864">
        <w:rPr>
          <w:rFonts w:ascii="Calibri" w:hAnsi="Calibri" w:cs="Calibri"/>
          <w:sz w:val="24"/>
          <w:szCs w:val="24"/>
          <w:lang w:val="es-ES"/>
        </w:rPr>
        <w:t>,</w:t>
      </w:r>
      <w:r w:rsidR="004907F9" w:rsidRPr="00673864">
        <w:rPr>
          <w:rFonts w:ascii="Calibri" w:hAnsi="Calibri" w:cs="Calibri"/>
          <w:sz w:val="24"/>
          <w:szCs w:val="24"/>
          <w:lang w:val="id-ID"/>
        </w:rPr>
        <w:t xml:space="preserve"> </w:t>
      </w:r>
      <w:r w:rsidR="00673864">
        <w:rPr>
          <w:rFonts w:ascii="Calibri" w:hAnsi="Calibri" w:cs="Calibri"/>
          <w:sz w:val="24"/>
          <w:szCs w:val="24"/>
          <w:lang w:val="es-ES"/>
        </w:rPr>
        <w:t>A</w:t>
      </w:r>
      <w:r w:rsidR="004907F9" w:rsidRPr="00673864">
        <w:rPr>
          <w:rFonts w:ascii="Calibri" w:hAnsi="Calibri" w:cs="Calibri"/>
          <w:sz w:val="24"/>
          <w:szCs w:val="24"/>
          <w:lang w:val="id-ID"/>
        </w:rPr>
        <w:t>nálisis bibliométrico</w:t>
      </w:r>
      <w:r w:rsidR="004907F9" w:rsidRPr="00673864">
        <w:rPr>
          <w:rFonts w:ascii="Calibri" w:hAnsi="Calibri" w:cs="Calibri"/>
          <w:sz w:val="24"/>
          <w:szCs w:val="24"/>
          <w:lang w:val="es-ES"/>
        </w:rPr>
        <w:t>,</w:t>
      </w:r>
      <w:r w:rsidR="00673864">
        <w:rPr>
          <w:rFonts w:ascii="Calibri" w:hAnsi="Calibri" w:cs="Calibri"/>
          <w:sz w:val="24"/>
          <w:szCs w:val="24"/>
          <w:lang w:val="id-ID"/>
        </w:rPr>
        <w:t xml:space="preserve"> </w:t>
      </w:r>
      <w:r w:rsidR="00673864">
        <w:rPr>
          <w:rFonts w:ascii="Calibri" w:hAnsi="Calibri" w:cs="Calibri"/>
          <w:sz w:val="24"/>
          <w:szCs w:val="24"/>
          <w:lang w:val="es-ES"/>
        </w:rPr>
        <w:t>E</w:t>
      </w:r>
      <w:r w:rsidR="004907F9" w:rsidRPr="00673864">
        <w:rPr>
          <w:rFonts w:ascii="Calibri" w:hAnsi="Calibri" w:cs="Calibri"/>
          <w:sz w:val="24"/>
          <w:szCs w:val="24"/>
          <w:lang w:val="id-ID"/>
        </w:rPr>
        <w:t>volución temática</w:t>
      </w:r>
      <w:r w:rsidR="004907F9" w:rsidRPr="00673864">
        <w:rPr>
          <w:rFonts w:ascii="Calibri" w:hAnsi="Calibri" w:cs="Calibri"/>
          <w:sz w:val="24"/>
          <w:szCs w:val="24"/>
          <w:lang w:val="es-ES"/>
        </w:rPr>
        <w:t>,</w:t>
      </w:r>
      <w:r w:rsidR="00673864">
        <w:rPr>
          <w:rFonts w:ascii="Calibri" w:hAnsi="Calibri" w:cs="Calibri"/>
          <w:sz w:val="24"/>
          <w:szCs w:val="24"/>
          <w:lang w:val="id-ID"/>
        </w:rPr>
        <w:t xml:space="preserve"> </w:t>
      </w:r>
      <w:r w:rsidR="00673864">
        <w:rPr>
          <w:rFonts w:ascii="Calibri" w:hAnsi="Calibri" w:cs="Calibri"/>
          <w:sz w:val="24"/>
          <w:szCs w:val="24"/>
          <w:lang w:val="es-ES"/>
        </w:rPr>
        <w:t>M</w:t>
      </w:r>
      <w:r w:rsidR="00120C59">
        <w:rPr>
          <w:rFonts w:ascii="Calibri" w:hAnsi="Calibri" w:cs="Calibri"/>
          <w:sz w:val="24"/>
          <w:szCs w:val="24"/>
          <w:lang w:val="id-ID"/>
        </w:rPr>
        <w:t>otivación académica</w:t>
      </w:r>
    </w:p>
    <w:p w14:paraId="73D9C88A" w14:textId="77777777" w:rsidR="003D6E94" w:rsidRPr="00673864" w:rsidRDefault="003D6E94" w:rsidP="00673864">
      <w:pPr>
        <w:ind w:firstLine="0"/>
        <w:rPr>
          <w:rFonts w:ascii="Calibri" w:hAnsi="Calibri" w:cs="Calibri"/>
          <w:b/>
          <w:bCs/>
          <w:sz w:val="24"/>
          <w:szCs w:val="24"/>
          <w:lang w:val="es-ES"/>
        </w:rPr>
      </w:pPr>
    </w:p>
    <w:p w14:paraId="40F37591" w14:textId="6D7D51DF" w:rsidR="00673864" w:rsidRPr="00673864" w:rsidRDefault="00673864" w:rsidP="00673864">
      <w:pPr>
        <w:ind w:firstLine="0"/>
        <w:jc w:val="left"/>
        <w:rPr>
          <w:rFonts w:ascii="Calibri" w:eastAsia="Times New Roman" w:hAnsi="Calibri" w:cs="Calibri"/>
          <w:sz w:val="24"/>
          <w:szCs w:val="24"/>
          <w:lang w:val="en-US" w:eastAsia="es-ES"/>
        </w:rPr>
      </w:pPr>
      <w:r w:rsidRPr="00673864">
        <w:rPr>
          <w:rFonts w:ascii="Calibri" w:eastAsia="Times New Roman" w:hAnsi="Calibri" w:cs="Calibri"/>
          <w:bCs/>
          <w:sz w:val="24"/>
          <w:szCs w:val="24"/>
          <w:lang w:val="en-US" w:eastAsia="ru-RU"/>
        </w:rPr>
        <w:t xml:space="preserve">Received: </w:t>
      </w:r>
      <w:r w:rsidR="008714C1">
        <w:rPr>
          <w:rFonts w:ascii="Calibri" w:eastAsia="Times New Roman" w:hAnsi="Calibri" w:cs="Calibri"/>
          <w:sz w:val="24"/>
          <w:szCs w:val="24"/>
          <w:lang w:val="en-US" w:eastAsia="es-ES"/>
        </w:rPr>
        <w:t>September</w:t>
      </w:r>
      <w:r w:rsidRPr="00673864">
        <w:rPr>
          <w:rFonts w:ascii="Calibri" w:eastAsia="Times New Roman" w:hAnsi="Calibri" w:cs="Calibri"/>
          <w:sz w:val="24"/>
          <w:szCs w:val="24"/>
          <w:lang w:val="en-US" w:eastAsia="es-ES"/>
        </w:rPr>
        <w:t xml:space="preserve"> </w:t>
      </w:r>
      <w:r w:rsidR="008714C1">
        <w:rPr>
          <w:rFonts w:ascii="Calibri" w:eastAsia="Times New Roman" w:hAnsi="Calibri" w:cs="Calibri"/>
          <w:sz w:val="24"/>
          <w:szCs w:val="24"/>
          <w:lang w:val="en-US" w:eastAsia="es-ES"/>
        </w:rPr>
        <w:t>29</w:t>
      </w:r>
      <w:r w:rsidRPr="00673864">
        <w:rPr>
          <w:rFonts w:ascii="Calibri" w:eastAsia="Times New Roman" w:hAnsi="Calibri" w:cs="Calibri"/>
          <w:sz w:val="24"/>
          <w:szCs w:val="24"/>
          <w:lang w:val="en-US" w:eastAsia="es-ES"/>
        </w:rPr>
        <w:t>, 2025</w:t>
      </w:r>
    </w:p>
    <w:p w14:paraId="56F200D5" w14:textId="073C4F38" w:rsidR="00673864" w:rsidRPr="00673864" w:rsidRDefault="00673864" w:rsidP="00673864">
      <w:pPr>
        <w:ind w:firstLine="0"/>
        <w:jc w:val="left"/>
        <w:rPr>
          <w:rFonts w:ascii="Calibri" w:eastAsia="Times New Roman" w:hAnsi="Calibri" w:cs="Calibri"/>
          <w:sz w:val="24"/>
          <w:szCs w:val="24"/>
          <w:lang w:val="en-US" w:eastAsia="es-ES"/>
        </w:rPr>
      </w:pPr>
      <w:r w:rsidRPr="00673864">
        <w:rPr>
          <w:rFonts w:ascii="Calibri" w:eastAsia="Times New Roman" w:hAnsi="Calibri" w:cs="Calibri"/>
          <w:bCs/>
          <w:sz w:val="24"/>
          <w:szCs w:val="24"/>
          <w:lang w:val="en-US" w:eastAsia="ru-RU"/>
        </w:rPr>
        <w:t xml:space="preserve">Accepted: </w:t>
      </w:r>
      <w:r w:rsidRPr="00673864">
        <w:rPr>
          <w:rFonts w:ascii="Calibri" w:eastAsia="Times New Roman" w:hAnsi="Calibri" w:cs="Calibri"/>
          <w:sz w:val="24"/>
          <w:szCs w:val="24"/>
          <w:lang w:val="en-US" w:eastAsia="es-ES"/>
        </w:rPr>
        <w:t xml:space="preserve">March </w:t>
      </w:r>
      <w:r>
        <w:rPr>
          <w:rFonts w:ascii="Calibri" w:eastAsia="Times New Roman" w:hAnsi="Calibri" w:cs="Calibri"/>
          <w:sz w:val="24"/>
          <w:szCs w:val="24"/>
          <w:lang w:val="en-US" w:eastAsia="es-ES"/>
        </w:rPr>
        <w:t>21</w:t>
      </w:r>
      <w:r w:rsidRPr="00673864">
        <w:rPr>
          <w:rFonts w:ascii="Calibri" w:eastAsia="Times New Roman" w:hAnsi="Calibri" w:cs="Calibri"/>
          <w:sz w:val="24"/>
          <w:szCs w:val="24"/>
          <w:lang w:val="en-US" w:eastAsia="es-ES"/>
        </w:rPr>
        <w:t>, 2026</w:t>
      </w:r>
    </w:p>
    <w:p w14:paraId="52D69ECD" w14:textId="77777777" w:rsidR="00673864" w:rsidRDefault="00673864" w:rsidP="00673864">
      <w:pPr>
        <w:ind w:firstLine="0"/>
        <w:rPr>
          <w:rFonts w:ascii="Calibri" w:eastAsia="Calibri" w:hAnsi="Calibri" w:cs="Calibri"/>
          <w:b/>
          <w:bCs/>
          <w:sz w:val="24"/>
          <w:szCs w:val="24"/>
          <w:lang w:val="id-ID"/>
        </w:rPr>
      </w:pPr>
    </w:p>
    <w:p w14:paraId="2A502F28" w14:textId="2FB7C99F" w:rsidR="00673864" w:rsidRDefault="00673864" w:rsidP="00673864">
      <w:pPr>
        <w:ind w:firstLine="0"/>
        <w:rPr>
          <w:rFonts w:ascii="Calibri" w:eastAsia="Calibri" w:hAnsi="Calibri" w:cs="Calibri"/>
          <w:b/>
          <w:bCs/>
          <w:sz w:val="24"/>
          <w:szCs w:val="24"/>
          <w:lang w:val="id-ID"/>
        </w:rPr>
      </w:pPr>
    </w:p>
    <w:p w14:paraId="6E095334" w14:textId="06273783" w:rsidR="003D6E94" w:rsidRPr="00673864" w:rsidRDefault="00673864" w:rsidP="00673864">
      <w:pPr>
        <w:ind w:firstLine="0"/>
        <w:jc w:val="center"/>
        <w:rPr>
          <w:rFonts w:ascii="Calibri" w:eastAsia="Calibri" w:hAnsi="Calibri" w:cs="Calibri"/>
          <w:b/>
          <w:bCs/>
          <w:sz w:val="32"/>
          <w:szCs w:val="32"/>
          <w:lang w:val="id-ID"/>
        </w:rPr>
      </w:pPr>
      <w:r w:rsidRPr="00673864">
        <w:rPr>
          <w:rFonts w:ascii="Calibri" w:eastAsia="Calibri" w:hAnsi="Calibri" w:cs="Calibri"/>
          <w:b/>
          <w:bCs/>
          <w:sz w:val="32"/>
          <w:szCs w:val="32"/>
          <w:lang w:val="id-ID"/>
        </w:rPr>
        <w:t>Introduction</w:t>
      </w:r>
    </w:p>
    <w:p w14:paraId="377CAC8A" w14:textId="2F5E7449" w:rsidR="003D6E94"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The development of knowledge surrounding Self-Determination Theory (SDT) in higher education reflects sustained scholarly efforts to understand student motivation and engagement across increasingly diverse learning environments. These concerns remain central as institutions seek to support academic performance, persistence, and well-being (</w:t>
      </w:r>
      <w:r w:rsidRPr="00AC48B5">
        <w:rPr>
          <w:rFonts w:ascii="Calibri" w:hAnsi="Calibri" w:cs="Calibri"/>
          <w:bCs/>
          <w:sz w:val="24"/>
          <w:szCs w:val="24"/>
          <w:highlight w:val="yellow"/>
          <w:lang w:val="en-US"/>
        </w:rPr>
        <w:t>Ferrer et al., 2022; Morris, 2019</w:t>
      </w:r>
      <w:r w:rsidRPr="00673864">
        <w:rPr>
          <w:rFonts w:ascii="Calibri" w:hAnsi="Calibri" w:cs="Calibri"/>
          <w:bCs/>
          <w:sz w:val="24"/>
          <w:szCs w:val="24"/>
          <w:lang w:val="en-US"/>
        </w:rPr>
        <w:t>). SDT provides an established framework for this research by emphasizing the roles of autonomy, competence, and relatedness in shaping the quality of human motivation (</w:t>
      </w:r>
      <w:r w:rsidRPr="00AC48B5">
        <w:rPr>
          <w:rFonts w:ascii="Calibri" w:hAnsi="Calibri" w:cs="Calibri"/>
          <w:bCs/>
          <w:sz w:val="24"/>
          <w:szCs w:val="24"/>
          <w:highlight w:val="yellow"/>
          <w:lang w:val="en-US"/>
        </w:rPr>
        <w:t>Ryan &amp; Deci,</w:t>
      </w:r>
      <w:r w:rsidR="00074D7A" w:rsidRPr="00AC48B5">
        <w:rPr>
          <w:rFonts w:ascii="Calibri" w:hAnsi="Calibri" w:cs="Calibri"/>
          <w:bCs/>
          <w:sz w:val="24"/>
          <w:szCs w:val="24"/>
          <w:highlight w:val="yellow"/>
          <w:lang w:val="en-US"/>
        </w:rPr>
        <w:t xml:space="preserve"> </w:t>
      </w:r>
      <w:r w:rsidRPr="00AC48B5">
        <w:rPr>
          <w:rFonts w:ascii="Calibri" w:hAnsi="Calibri" w:cs="Calibri"/>
          <w:bCs/>
          <w:sz w:val="24"/>
          <w:szCs w:val="24"/>
          <w:highlight w:val="yellow"/>
          <w:lang w:val="en-US"/>
        </w:rPr>
        <w:t>2023</w:t>
      </w:r>
      <w:r w:rsidRPr="00673864">
        <w:rPr>
          <w:rFonts w:ascii="Calibri" w:hAnsi="Calibri" w:cs="Calibri"/>
          <w:bCs/>
          <w:sz w:val="24"/>
          <w:szCs w:val="24"/>
          <w:lang w:val="en-US"/>
        </w:rPr>
        <w:t>). Although applied across multiple disciplines, SDT has assumed particular importance in education, where it informs research on how learning environments and instructional practices support or constrain students’ psychological needs</w:t>
      </w:r>
      <w:r w:rsidR="00DB3B0A" w:rsidRPr="00673864">
        <w:rPr>
          <w:rFonts w:ascii="Calibri" w:hAnsi="Calibri" w:cs="Calibri"/>
          <w:bCs/>
          <w:sz w:val="24"/>
          <w:szCs w:val="24"/>
          <w:lang w:val="en-US"/>
        </w:rPr>
        <w:t>.</w:t>
      </w:r>
    </w:p>
    <w:p w14:paraId="44F3FEE0" w14:textId="4AEE2762" w:rsidR="003D6E94"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As the use of SDT in higher education has grown, so too has the body of knowledge associated with the theory. Research now extends beyond traditional classroom instruction to online and hybrid learning, student transitions, professional education, inclusive education, and the experiences of diverse learner groups (</w:t>
      </w:r>
      <w:r w:rsidRPr="00AC48B5">
        <w:rPr>
          <w:rFonts w:ascii="Calibri" w:hAnsi="Calibri" w:cs="Calibri"/>
          <w:bCs/>
          <w:sz w:val="24"/>
          <w:szCs w:val="24"/>
          <w:highlight w:val="yellow"/>
          <w:lang w:val="en-US"/>
        </w:rPr>
        <w:t>De Freitas et al., 2022; Larson et al., 2019; Lozano-Jiménez et al., 2021</w:t>
      </w:r>
      <w:r w:rsidRPr="00673864">
        <w:rPr>
          <w:rFonts w:ascii="Calibri" w:hAnsi="Calibri" w:cs="Calibri"/>
          <w:bCs/>
          <w:sz w:val="24"/>
          <w:szCs w:val="24"/>
          <w:lang w:val="en-US"/>
        </w:rPr>
        <w:t>). Yet publication growth alone cannot explain how this knowledge has developed. A research domain may expand and diversify contextually while retaining a stable conceptual foundation. New applications may become integrated with established motivational concepts, develop into specialized research niches, or remain weakly connected to the wider knowledge structure. Distinguishing the expansion of SDT-related scholarship from the development of SDT as a theory is therefore essential.</w:t>
      </w:r>
    </w:p>
    <w:p w14:paraId="5F85C1EC" w14:textId="1FB6B276" w:rsidR="003D6E94"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Despite this growth, existing research has largely generated evidence on particular SDT constructs and applications, including autonomy support, intrinsic motivation, psychological need satisfaction, and digitally mediated learning (</w:t>
      </w:r>
      <w:r w:rsidRPr="00AC48B5">
        <w:rPr>
          <w:rFonts w:ascii="Calibri" w:hAnsi="Calibri" w:cs="Calibri"/>
          <w:bCs/>
          <w:sz w:val="24"/>
          <w:szCs w:val="24"/>
          <w:highlight w:val="yellow"/>
          <w:lang w:val="en-US"/>
        </w:rPr>
        <w:t>Ferrer et al., 2022; Holzer et al., 2</w:t>
      </w:r>
      <w:r w:rsidRPr="00673864">
        <w:rPr>
          <w:rFonts w:ascii="Calibri" w:hAnsi="Calibri" w:cs="Calibri"/>
          <w:bCs/>
          <w:sz w:val="24"/>
          <w:szCs w:val="24"/>
          <w:lang w:val="en-US"/>
        </w:rPr>
        <w:t>021). Studies focused on individual constructs or settings, however, do not reveal how the knowledge surrounding SDT has been organized and reorganized over time. Conventional bibliometric descriptions of publication trends, influential contributors, and static thematic structures characterize the scale and composition of a field but offer limited insight into whether themes persist, become structurally integrated, develop into specialized domains, or lose connection with the wider literature. The unresolved issue is therefore not simply whether SDT-related higher education research has increased or which themes are prominent, but how its knowledge structure has developed through continuity, expansion, diversification, and changing thematic relationships.</w:t>
      </w:r>
    </w:p>
    <w:p w14:paraId="296D5FD0" w14:textId="77777777" w:rsidR="003D6E94"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To address this gap, the present study conducts a longitudinal bibliometric analysis of 862 Scopus-indexed documents published between 1979 and 2024. Performance indicators and contributor patterns establish the descriptive context for the field’s expansion, while author-keyword thematic evolution and strategic maps provide evidence of thematic continuity, structural position, and internal development across three periods. The analysis examines how the publication base of SDT-related higher education research has expanded, which knowledge themes have remained structurally persistent or changed position, and how newer application domains have become integrated, specialized, or weakly connected within the broader field.</w:t>
      </w:r>
    </w:p>
    <w:p w14:paraId="640189AC" w14:textId="77777777" w:rsidR="003D6E94"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In doing so, the study offers an empirically bounded account of knowledge development around a stable theoretical framework. It does not seek to demonstrate that SDT’s propositions or mechanisms have changed. Rather, it explains how the scholarly knowledge organized around SDT has broadened across higher education contexts while exhibiting different degrees of structural integration. This perspective clarifies the relationship between contextual expansion and cumulative knowledge formation, providing a coherent basis for identifying future research priorities.</w:t>
      </w:r>
    </w:p>
    <w:p w14:paraId="3C846910" w14:textId="73BBDA4E"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 xml:space="preserve">SDT, developed by </w:t>
      </w:r>
      <w:r w:rsidRPr="00AC48B5">
        <w:rPr>
          <w:rFonts w:ascii="Calibri" w:eastAsia="Times New Roman" w:hAnsi="Calibri" w:cs="Calibri"/>
          <w:sz w:val="24"/>
          <w:szCs w:val="24"/>
          <w:highlight w:val="yellow"/>
          <w:lang w:val="en-US" w:eastAsia="ru-RU"/>
        </w:rPr>
        <w:t>Ryan &amp; Deci</w:t>
      </w:r>
      <w:r w:rsidR="009142F6" w:rsidRPr="00AC48B5">
        <w:rPr>
          <w:rFonts w:ascii="Calibri" w:eastAsia="Times New Roman" w:hAnsi="Calibri" w:cs="Calibri"/>
          <w:sz w:val="24"/>
          <w:szCs w:val="24"/>
          <w:highlight w:val="yellow"/>
          <w:lang w:val="en-US" w:eastAsia="ru-RU"/>
        </w:rPr>
        <w:t xml:space="preserve"> (</w:t>
      </w:r>
      <w:r w:rsidRPr="00AC48B5">
        <w:rPr>
          <w:rFonts w:ascii="Calibri" w:eastAsia="Times New Roman" w:hAnsi="Calibri" w:cs="Calibri"/>
          <w:sz w:val="24"/>
          <w:szCs w:val="24"/>
          <w:highlight w:val="yellow"/>
          <w:lang w:val="en-US" w:eastAsia="ru-RU"/>
        </w:rPr>
        <w:t>2019</w:t>
      </w:r>
      <w:r w:rsidRPr="00673864">
        <w:rPr>
          <w:rFonts w:ascii="Calibri" w:eastAsia="Times New Roman" w:hAnsi="Calibri" w:cs="Calibri"/>
          <w:sz w:val="24"/>
          <w:szCs w:val="24"/>
          <w:lang w:val="en-US" w:eastAsia="ru-RU"/>
        </w:rPr>
        <w:t>), is a broad framework for the study of human motivation that emphasizes the innate psychological needs of autonomy, competence, and relatedness (Larson et al., 2019). These needs are fundamental to optimal functioning and well-being, particularly in educational settings. Autonomy refers to the sense of volition and self-direction in learning; competence involves feeling capable and effective in academic tasks; and relatedness pertains to the connection and sense of belonging with peers and educators</w:t>
      </w:r>
      <w:r w:rsidR="009142F6" w:rsidRPr="00673864">
        <w:rPr>
          <w:rFonts w:ascii="Calibri" w:eastAsia="Times New Roman" w:hAnsi="Calibri" w:cs="Calibri"/>
          <w:sz w:val="24"/>
          <w:szCs w:val="24"/>
          <w:lang w:val="en-US" w:eastAsia="ru-RU"/>
        </w:rPr>
        <w:t xml:space="preserve">. </w:t>
      </w:r>
      <w:r w:rsidRPr="00673864">
        <w:rPr>
          <w:rFonts w:ascii="Calibri" w:eastAsia="Times New Roman" w:hAnsi="Calibri" w:cs="Calibri"/>
          <w:sz w:val="24"/>
          <w:szCs w:val="24"/>
          <w:lang w:val="en-US" w:eastAsia="ru-RU"/>
        </w:rPr>
        <w:t>SDT distinguishes between intrinsic motivation (engaging in activities for inherent satisfaction) and extrinsic motivation (engaging in activities for external rewards or pressures), arguing that educational environments should foster conditions that promote intrinsic motivation for deep learning, and sustained academic engagement</w:t>
      </w:r>
      <w:r w:rsidR="009142F6" w:rsidRPr="00673864">
        <w:rPr>
          <w:rFonts w:ascii="Calibri" w:eastAsia="Times New Roman" w:hAnsi="Calibri" w:cs="Calibri"/>
          <w:sz w:val="24"/>
          <w:szCs w:val="24"/>
          <w:lang w:val="en-US" w:eastAsia="ru-RU"/>
        </w:rPr>
        <w:t>.</w:t>
      </w:r>
    </w:p>
    <w:p w14:paraId="3EBF51C5" w14:textId="20ACBAA4"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SDT has been extensively applied in higher education to understand how learning environments can support student motivation and engagement (</w:t>
      </w:r>
      <w:r w:rsidRPr="00AC48B5">
        <w:rPr>
          <w:rFonts w:ascii="Calibri" w:eastAsia="Times New Roman" w:hAnsi="Calibri" w:cs="Calibri"/>
          <w:sz w:val="24"/>
          <w:szCs w:val="24"/>
          <w:highlight w:val="yellow"/>
          <w:lang w:val="en-US" w:eastAsia="ru-RU"/>
        </w:rPr>
        <w:t>Ferrer et al.,</w:t>
      </w:r>
      <w:r w:rsidRPr="00673864">
        <w:rPr>
          <w:rFonts w:ascii="Calibri" w:eastAsia="Times New Roman" w:hAnsi="Calibri" w:cs="Calibri"/>
          <w:sz w:val="24"/>
          <w:szCs w:val="24"/>
          <w:lang w:val="en-US" w:eastAsia="ru-RU"/>
        </w:rPr>
        <w:t xml:space="preserve"> 2022). Research suggests that when instructors employ supportive teaching practices</w:t>
      </w:r>
      <w:r w:rsidR="008D4FF0" w:rsidRPr="00673864">
        <w:rPr>
          <w:rFonts w:ascii="Calibri" w:eastAsia="Times New Roman" w:hAnsi="Calibri" w:cs="Calibri"/>
          <w:sz w:val="24"/>
          <w:szCs w:val="24"/>
          <w:lang w:val="en-US" w:eastAsia="ru-RU"/>
        </w:rPr>
        <w:t xml:space="preserve"> </w:t>
      </w:r>
      <w:r w:rsidRPr="00673864">
        <w:rPr>
          <w:rFonts w:ascii="Calibri" w:eastAsia="Times New Roman" w:hAnsi="Calibri" w:cs="Calibri"/>
          <w:sz w:val="24"/>
          <w:szCs w:val="24"/>
          <w:lang w:val="en-US" w:eastAsia="ru-RU"/>
        </w:rPr>
        <w:t xml:space="preserve">such as autonomy-supportive instruction, constructive feedback, and collaborative learning, students experience higher intrinsic motivation, increased persistence, and improved academic performance </w:t>
      </w:r>
      <w:r w:rsidRPr="00AC48B5">
        <w:rPr>
          <w:rFonts w:ascii="Calibri" w:eastAsia="Times New Roman" w:hAnsi="Calibri" w:cs="Calibri"/>
          <w:sz w:val="24"/>
          <w:szCs w:val="24"/>
          <w:highlight w:val="yellow"/>
          <w:lang w:val="en-US" w:eastAsia="ru-RU"/>
        </w:rPr>
        <w:t>(Reeve, 2012</w:t>
      </w:r>
      <w:r w:rsidRPr="00673864">
        <w:rPr>
          <w:rFonts w:ascii="Calibri" w:eastAsia="Times New Roman" w:hAnsi="Calibri" w:cs="Calibri"/>
          <w:sz w:val="24"/>
          <w:szCs w:val="24"/>
          <w:lang w:val="en-US" w:eastAsia="ru-RU"/>
        </w:rPr>
        <w:t>). Moreover, SDT has provided valuable insights into online learning, where fostering autonomy and competence through well-structured digital platforms can enhance students’ sense of agency and reduce their disengagement (</w:t>
      </w:r>
      <w:r w:rsidRPr="00AC48B5">
        <w:rPr>
          <w:rFonts w:ascii="Calibri" w:eastAsia="Times New Roman" w:hAnsi="Calibri" w:cs="Calibri"/>
          <w:sz w:val="24"/>
          <w:szCs w:val="24"/>
          <w:highlight w:val="yellow"/>
          <w:lang w:val="en-US" w:eastAsia="ru-RU"/>
        </w:rPr>
        <w:t>Hsu et al., 2019</w:t>
      </w:r>
      <w:r w:rsidRPr="00673864">
        <w:rPr>
          <w:rFonts w:ascii="Calibri" w:eastAsia="Times New Roman" w:hAnsi="Calibri" w:cs="Calibri"/>
          <w:sz w:val="24"/>
          <w:szCs w:val="24"/>
          <w:lang w:val="en-US" w:eastAsia="ru-RU"/>
        </w:rPr>
        <w:t>).</w:t>
      </w:r>
    </w:p>
    <w:p w14:paraId="4F3C4BE6" w14:textId="77777777" w:rsidR="002A2526"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 xml:space="preserve">Several empirical studies have tested SDT’s application of SDT in higher-education settings. Holzer et al. (2021) used structural equation modeling in higher education to examine how psychological need satisfaction influences well-being during COVID-19, finding competence to be the strongest predictor of positive emotion and motivation. Ferrer et al. (2022) used structural equation modeling in higher education to examine how students' attitudes toward online learning mediate the relationship between motivation and engagement. The results showed that attitude influenced engagement for both intrinsic and extrinsic motivation, with stronger effects on online students. </w:t>
      </w:r>
    </w:p>
    <w:p w14:paraId="4CB0CCEE" w14:textId="655028DB" w:rsidR="003D6E94" w:rsidRPr="00673864" w:rsidRDefault="00C72694" w:rsidP="00673864">
      <w:pPr>
        <w:ind w:firstLine="0"/>
        <w:rPr>
          <w:rFonts w:ascii="Calibri" w:eastAsia="Times New Roman" w:hAnsi="Calibri" w:cs="Calibri"/>
          <w:sz w:val="24"/>
          <w:szCs w:val="24"/>
          <w:lang w:val="en-US" w:eastAsia="ru-RU"/>
        </w:rPr>
      </w:pPr>
      <w:r w:rsidRPr="00AC48B5">
        <w:rPr>
          <w:rFonts w:ascii="Calibri" w:eastAsia="Times New Roman" w:hAnsi="Calibri" w:cs="Calibri"/>
          <w:sz w:val="24"/>
          <w:szCs w:val="24"/>
          <w:highlight w:val="yellow"/>
          <w:lang w:val="en-US" w:eastAsia="ru-RU"/>
        </w:rPr>
        <w:t>Bai et al. (20</w:t>
      </w:r>
      <w:r w:rsidRPr="00673864">
        <w:rPr>
          <w:rFonts w:ascii="Calibri" w:eastAsia="Times New Roman" w:hAnsi="Calibri" w:cs="Calibri"/>
          <w:sz w:val="24"/>
          <w:szCs w:val="24"/>
          <w:lang w:val="en-US" w:eastAsia="ru-RU"/>
        </w:rPr>
        <w:t>22) used structural equation modeling in higher education to examine how perceived fear, course quality, and self-determination influence learners’ retention intention in MOOCs. The results showed that course quality and intrinsic motivation significantly enhanced perceived usefulness and satisfaction, and increased retention rates.</w:t>
      </w:r>
    </w:p>
    <w:p w14:paraId="35B2A28C" w14:textId="559FCFDD"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While SDT research in higher education has expanded significantly, the literature remains fragmented, with studies often focusing on specific components, such as autonomy support or motivation types, without synthesizing broader trends. To address this gap, bibliometric analysis provides a valuable method for mapping research evolution, identifying key contributors, and uncovering emerging themes. Few studies have applied bibliometric techniques to SDT research in higher education, making it challenging for scholars to gain a comprehensive understanding of this field’s development. Given this limitation, this study employs bibliometric tools, such as VOSviewer and Biblioshiny, to systematically analyze SDT-related publications, offering insights into research trends, author collaborations, and thematic evolution.</w:t>
      </w:r>
    </w:p>
    <w:p w14:paraId="6EF625BA" w14:textId="7412459B" w:rsidR="00673864" w:rsidRDefault="00673864" w:rsidP="00673864">
      <w:pPr>
        <w:ind w:firstLine="0"/>
        <w:rPr>
          <w:rFonts w:ascii="Calibri" w:eastAsia="Times New Roman" w:hAnsi="Calibri" w:cs="Calibri"/>
          <w:sz w:val="24"/>
          <w:szCs w:val="24"/>
          <w:lang w:val="en-US" w:eastAsia="ru-RU"/>
        </w:rPr>
      </w:pPr>
    </w:p>
    <w:p w14:paraId="7C054105" w14:textId="77777777" w:rsidR="00673864" w:rsidRPr="00673864" w:rsidRDefault="00673864" w:rsidP="00673864">
      <w:pPr>
        <w:ind w:firstLine="0"/>
        <w:rPr>
          <w:rFonts w:ascii="Calibri" w:eastAsia="Times New Roman" w:hAnsi="Calibri" w:cs="Calibri"/>
          <w:sz w:val="24"/>
          <w:szCs w:val="24"/>
          <w:lang w:val="en-US" w:eastAsia="ru-RU"/>
        </w:rPr>
      </w:pPr>
    </w:p>
    <w:p w14:paraId="04A165A3" w14:textId="37BB2CE5" w:rsidR="003D6E94" w:rsidRPr="00673864" w:rsidRDefault="00673864" w:rsidP="00673864">
      <w:pPr>
        <w:ind w:firstLine="0"/>
        <w:jc w:val="center"/>
        <w:rPr>
          <w:rFonts w:ascii="Calibri" w:hAnsi="Calibri" w:cs="Calibri"/>
          <w:b/>
          <w:i/>
          <w:iCs/>
          <w:sz w:val="32"/>
          <w:szCs w:val="32"/>
          <w:lang w:val="en-US"/>
        </w:rPr>
      </w:pPr>
      <w:r w:rsidRPr="00673864">
        <w:rPr>
          <w:rFonts w:ascii="Calibri" w:hAnsi="Calibri" w:cs="Calibri"/>
          <w:b/>
          <w:sz w:val="32"/>
          <w:szCs w:val="32"/>
          <w:lang w:val="en-US"/>
        </w:rPr>
        <w:t>Materials and methods</w:t>
      </w:r>
    </w:p>
    <w:p w14:paraId="35FA84FC" w14:textId="77777777" w:rsidR="00673864" w:rsidRDefault="00673864" w:rsidP="00673864">
      <w:pPr>
        <w:ind w:firstLine="0"/>
        <w:rPr>
          <w:rFonts w:ascii="Calibri" w:eastAsia="Times New Roman" w:hAnsi="Calibri" w:cs="Calibri"/>
          <w:sz w:val="24"/>
          <w:szCs w:val="24"/>
          <w:lang w:val="en-US" w:eastAsia="es-ES"/>
        </w:rPr>
      </w:pPr>
    </w:p>
    <w:p w14:paraId="4D887BF4" w14:textId="77777777" w:rsidR="00673864" w:rsidRDefault="00673864" w:rsidP="00673864">
      <w:pPr>
        <w:ind w:firstLine="0"/>
        <w:rPr>
          <w:rFonts w:ascii="Calibri" w:eastAsia="Times New Roman" w:hAnsi="Calibri" w:cs="Calibri"/>
          <w:sz w:val="24"/>
          <w:szCs w:val="24"/>
          <w:lang w:val="en-US" w:eastAsia="es-ES"/>
        </w:rPr>
      </w:pPr>
    </w:p>
    <w:p w14:paraId="043A16F0" w14:textId="66CC7A9B" w:rsidR="0049578D" w:rsidRPr="00673864" w:rsidRDefault="0049578D"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Bibliographic data were retrieved from Scopus</w:t>
      </w:r>
      <w:r w:rsidR="00125824"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a multidisciplinary database providing structured metadata suitable for bibliometric analysis, including citation records, author affiliations, and geographical information</w:t>
      </w:r>
      <w:r w:rsidR="00DB3B0A"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The search was conducted on August 29, 2024, using the TITLE-ABS-KEY field, covering publication titles, abstracts, and keywords. No publication-year restrictions were applied, and all document types were initially considered. The search was limited to English-language records to ensure consistency in thematic analysis. Boolean operators, alternative expressions, and truncation were employed to identify relevant publications</w:t>
      </w:r>
      <w:r w:rsidR="00125824"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The search equation was:</w:t>
      </w:r>
    </w:p>
    <w:p w14:paraId="438E99FA" w14:textId="34F6FCC0" w:rsidR="0049578D" w:rsidRPr="00673864" w:rsidRDefault="0049578D" w:rsidP="00673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(TITLE-ABS-KEY</w:t>
      </w:r>
      <w:r w:rsidR="007715D2">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("self-determination theory" OR "</w:t>
      </w:r>
      <w:r w:rsidR="007715D2" w:rsidRPr="00673864">
        <w:rPr>
          <w:rFonts w:ascii="Calibri" w:eastAsia="Times New Roman" w:hAnsi="Calibri" w:cs="Calibri"/>
          <w:sz w:val="24"/>
          <w:szCs w:val="24"/>
          <w:lang w:val="en-US" w:eastAsia="es-ES"/>
        </w:rPr>
        <w:t>self-determination</w:t>
      </w:r>
      <w:r w:rsidRPr="00673864">
        <w:rPr>
          <w:rFonts w:ascii="Calibri" w:eastAsia="Times New Roman" w:hAnsi="Calibri" w:cs="Calibri"/>
          <w:sz w:val="24"/>
          <w:szCs w:val="24"/>
          <w:lang w:val="en-US" w:eastAsia="es-ES"/>
        </w:rPr>
        <w:t xml:space="preserve"> theory" OR "theory of self-determination" OR "SDT")) AND (TITLE-ABS-KEY</w:t>
      </w:r>
      <w:r w:rsidR="00480A4C">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("higher education" OR "higher education institution*" OR "tertiary education" OR "post-secondary education" OR post-secondary OR college OR u</w:t>
      </w:r>
      <w:r w:rsidR="007715D2">
        <w:rPr>
          <w:rFonts w:ascii="Calibri" w:eastAsia="Times New Roman" w:hAnsi="Calibri" w:cs="Calibri"/>
          <w:sz w:val="24"/>
          <w:szCs w:val="24"/>
          <w:lang w:val="en-US" w:eastAsia="es-ES"/>
        </w:rPr>
        <w:t>niversit* OR "higher learning")</w:t>
      </w:r>
    </w:p>
    <w:p w14:paraId="50B5ECC7" w14:textId="77777777" w:rsidR="0049578D" w:rsidRPr="00673864" w:rsidRDefault="0049578D"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The search strategy encompassed theoretical and empirical studies addressing Self-Determination Theory (SDT) across different higher education settings. The identification and selection process was documented through a PRISMA-informed flow diagram (</w:t>
      </w:r>
      <w:r w:rsidRPr="00480A4C">
        <w:rPr>
          <w:rFonts w:ascii="Calibri" w:eastAsia="Times New Roman" w:hAnsi="Calibri" w:cs="Calibri"/>
          <w:sz w:val="24"/>
          <w:szCs w:val="24"/>
          <w:highlight w:val="yellow"/>
          <w:lang w:val="en-US" w:eastAsia="es-ES"/>
        </w:rPr>
        <w:t>Moher et al., 2009</w:t>
      </w:r>
      <w:r w:rsidRPr="00673864">
        <w:rPr>
          <w:rFonts w:ascii="Calibri" w:eastAsia="Times New Roman" w:hAnsi="Calibri" w:cs="Calibri"/>
          <w:sz w:val="24"/>
          <w:szCs w:val="24"/>
          <w:lang w:val="en-US" w:eastAsia="es-ES"/>
        </w:rPr>
        <w:t>), presented in Figure 1. Two reviewers independently screened titles and abstracts, resolving disagreements through consensus. Errata and notes were excluded because they did not represent substantive research contributions. The final dataset comprised 862 documents, whose distribution by publication type is presented in Table 2.</w:t>
      </w:r>
    </w:p>
    <w:p w14:paraId="6E4969C7" w14:textId="57588625" w:rsidR="0049578D" w:rsidRPr="00673864" w:rsidRDefault="0049578D"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Bibliographic records were cleaned and standardized using biblioMagika 2.9 and OpenRefine 3.7.6</w:t>
      </w:r>
      <w:r w:rsidR="00C1319E"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The process addressed inconsistencies in author names, identifiers, institutional affiliations, countries, and keywords. OpenRefine facilitated the identification and correction of terminological variations</w:t>
      </w:r>
      <w:r w:rsidR="009F25C2"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while biblioMagika supported the harmonization of bibliographic metadata</w:t>
      </w:r>
      <w:r w:rsidR="006D4984"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These procedures improved data consistency and reliability for subsequent bibliometric analyses</w:t>
      </w:r>
      <w:r w:rsidR="00A43F61" w:rsidRPr="00673864">
        <w:rPr>
          <w:rFonts w:ascii="Calibri" w:eastAsia="Times New Roman" w:hAnsi="Calibri" w:cs="Calibri"/>
          <w:sz w:val="24"/>
          <w:szCs w:val="24"/>
          <w:lang w:val="en-US" w:eastAsia="es-ES"/>
        </w:rPr>
        <w:t>.</w:t>
      </w:r>
    </w:p>
    <w:p w14:paraId="116BEF2E" w14:textId="6103B511" w:rsidR="0049578D" w:rsidRDefault="0049578D"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The 862 records were imported into Biblioshiny, the graphical interface of Bibliometrix 4.3.0 for R (</w:t>
      </w:r>
      <w:r w:rsidRPr="00480A4C">
        <w:rPr>
          <w:rFonts w:ascii="Calibri" w:eastAsia="Times New Roman" w:hAnsi="Calibri" w:cs="Calibri"/>
          <w:sz w:val="24"/>
          <w:szCs w:val="24"/>
          <w:highlight w:val="yellow"/>
          <w:lang w:val="en-US" w:eastAsia="es-ES"/>
        </w:rPr>
        <w:t>Aria &amp; Cuccurullo, 2017), t</w:t>
      </w:r>
      <w:r w:rsidRPr="00673864">
        <w:rPr>
          <w:rFonts w:ascii="Calibri" w:eastAsia="Times New Roman" w:hAnsi="Calibri" w:cs="Calibri"/>
          <w:sz w:val="24"/>
          <w:szCs w:val="24"/>
          <w:lang w:val="en-US" w:eastAsia="es-ES"/>
        </w:rPr>
        <w:t>o examine publication trends, citation indicators, leading authors, institutional contributions, and geographical distribution. Scientific mapping techniques, including co-word analysis, thematic evolution, and strategic thematic maps, were employed to identify the continuity, diversification, and structural relationships of research themes</w:t>
      </w:r>
      <w:r w:rsidR="00C1319E" w:rsidRPr="00673864">
        <w:rPr>
          <w:rFonts w:ascii="Calibri" w:eastAsia="Times New Roman" w:hAnsi="Calibri" w:cs="Calibri"/>
          <w:sz w:val="24"/>
          <w:szCs w:val="24"/>
          <w:lang w:val="en-US" w:eastAsia="es-ES"/>
        </w:rPr>
        <w:t xml:space="preserve">. </w:t>
      </w:r>
      <w:r w:rsidRPr="00673864">
        <w:rPr>
          <w:rFonts w:ascii="Calibri" w:eastAsia="Times New Roman" w:hAnsi="Calibri" w:cs="Calibri"/>
          <w:sz w:val="24"/>
          <w:szCs w:val="24"/>
          <w:lang w:val="en-US" w:eastAsia="es-ES"/>
        </w:rPr>
        <w:t>This combined approach enabled a longitudinal assessment of knowledge development surrounding SDT in higher education while distinguishing changes in scholarly production and thematic organization from modifications to the theory itself</w:t>
      </w:r>
      <w:r w:rsidR="00AA6943" w:rsidRPr="00673864">
        <w:rPr>
          <w:rFonts w:ascii="Calibri" w:eastAsia="Times New Roman" w:hAnsi="Calibri" w:cs="Calibri"/>
          <w:sz w:val="24"/>
          <w:szCs w:val="24"/>
          <w:lang w:val="en-US" w:eastAsia="es-ES"/>
        </w:rPr>
        <w:t xml:space="preserve"> (Figure 1).</w:t>
      </w:r>
    </w:p>
    <w:p w14:paraId="664627B0" w14:textId="77777777" w:rsidR="007715D2" w:rsidRPr="00673864" w:rsidRDefault="007715D2" w:rsidP="00673864">
      <w:pPr>
        <w:ind w:firstLine="0"/>
        <w:rPr>
          <w:rFonts w:ascii="Calibri" w:eastAsia="Times New Roman" w:hAnsi="Calibri" w:cs="Calibri"/>
          <w:sz w:val="24"/>
          <w:szCs w:val="24"/>
          <w:lang w:val="en-US" w:eastAsia="es-ES"/>
        </w:rPr>
      </w:pPr>
    </w:p>
    <w:p w14:paraId="6A904D48" w14:textId="7DF00018" w:rsidR="003D6E94" w:rsidRPr="00673864" w:rsidRDefault="005C7A5D" w:rsidP="007715D2">
      <w:pPr>
        <w:ind w:firstLine="0"/>
        <w:jc w:val="center"/>
        <w:rPr>
          <w:rFonts w:ascii="Calibri" w:eastAsia="SimSun" w:hAnsi="Calibri" w:cs="Calibri"/>
          <w:bCs/>
          <w:sz w:val="24"/>
          <w:szCs w:val="24"/>
          <w:lang w:val="en-US" w:eastAsia="zh-CN"/>
        </w:rPr>
      </w:pPr>
      <w:r w:rsidRPr="00673864">
        <w:rPr>
          <w:rFonts w:ascii="Calibri" w:hAnsi="Calibri" w:cs="Calibri"/>
          <w:noProof/>
          <w:sz w:val="24"/>
          <w:szCs w:val="24"/>
          <w:lang w:val="en-US"/>
        </w:rPr>
        <w:drawing>
          <wp:inline distT="0" distB="0" distL="0" distR="0" wp14:anchorId="24E289F0" wp14:editId="57D06CF6">
            <wp:extent cx="3957240" cy="5527431"/>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59563" cy="5530676"/>
                    </a:xfrm>
                    <a:prstGeom prst="rect">
                      <a:avLst/>
                    </a:prstGeom>
                    <a:noFill/>
                    <a:ln>
                      <a:noFill/>
                    </a:ln>
                  </pic:spPr>
                </pic:pic>
              </a:graphicData>
            </a:graphic>
          </wp:inline>
        </w:drawing>
      </w:r>
    </w:p>
    <w:p w14:paraId="21E351F7" w14:textId="61B54BB5" w:rsidR="003D6E94" w:rsidRDefault="00AA6943" w:rsidP="007715D2">
      <w:pPr>
        <w:ind w:firstLine="0"/>
        <w:jc w:val="center"/>
        <w:rPr>
          <w:rFonts w:ascii="Calibri" w:hAnsi="Calibri" w:cs="Calibri"/>
          <w:sz w:val="22"/>
        </w:rPr>
      </w:pPr>
      <w:r w:rsidRPr="007715D2">
        <w:rPr>
          <w:rFonts w:ascii="Calibri" w:hAnsi="Calibri" w:cs="Calibri"/>
          <w:b/>
          <w:sz w:val="22"/>
        </w:rPr>
        <w:t>Figure 1</w:t>
      </w:r>
      <w:r w:rsidR="007715D2" w:rsidRPr="007715D2">
        <w:rPr>
          <w:rFonts w:ascii="Calibri" w:hAnsi="Calibri" w:cs="Calibri"/>
          <w:b/>
          <w:sz w:val="22"/>
          <w:lang w:val="en-US"/>
        </w:rPr>
        <w:t>:</w:t>
      </w:r>
      <w:r w:rsidRPr="007715D2">
        <w:rPr>
          <w:rFonts w:ascii="Calibri" w:hAnsi="Calibri" w:cs="Calibri"/>
          <w:sz w:val="22"/>
        </w:rPr>
        <w:t xml:space="preserve"> Flowchart of the search, screening, and inclusion process for the bibliometric analysis of self-determina</w:t>
      </w:r>
      <w:r w:rsidR="007715D2">
        <w:rPr>
          <w:rFonts w:ascii="Calibri" w:hAnsi="Calibri" w:cs="Calibri"/>
          <w:sz w:val="22"/>
        </w:rPr>
        <w:t>tion theory in higher education</w:t>
      </w:r>
    </w:p>
    <w:p w14:paraId="03263B72" w14:textId="6CC32BF9" w:rsidR="007715D2" w:rsidRDefault="007715D2" w:rsidP="007715D2">
      <w:pPr>
        <w:ind w:firstLine="0"/>
        <w:jc w:val="center"/>
        <w:rPr>
          <w:rFonts w:ascii="Calibri" w:hAnsi="Calibri" w:cs="Calibri"/>
          <w:sz w:val="22"/>
        </w:rPr>
      </w:pPr>
    </w:p>
    <w:p w14:paraId="167AEC11" w14:textId="77777777" w:rsidR="007715D2" w:rsidRPr="007715D2" w:rsidRDefault="007715D2" w:rsidP="007715D2">
      <w:pPr>
        <w:ind w:firstLine="0"/>
        <w:jc w:val="center"/>
        <w:rPr>
          <w:rFonts w:ascii="Calibri" w:hAnsi="Calibri" w:cs="Calibri"/>
          <w:bCs/>
          <w:sz w:val="22"/>
          <w:lang w:val="en-US"/>
        </w:rPr>
      </w:pPr>
    </w:p>
    <w:p w14:paraId="28CC4600" w14:textId="663CE49A" w:rsidR="003D6E94" w:rsidRPr="007715D2" w:rsidRDefault="007715D2" w:rsidP="007715D2">
      <w:pPr>
        <w:ind w:firstLine="0"/>
        <w:jc w:val="center"/>
        <w:rPr>
          <w:rFonts w:ascii="Calibri" w:eastAsia="Calibri" w:hAnsi="Calibri" w:cs="Calibri"/>
          <w:b/>
          <w:sz w:val="32"/>
          <w:szCs w:val="32"/>
          <w:lang w:val="en-US"/>
        </w:rPr>
      </w:pPr>
      <w:r w:rsidRPr="007715D2">
        <w:rPr>
          <w:rFonts w:ascii="Calibri" w:hAnsi="Calibri" w:cs="Calibri"/>
          <w:b/>
          <w:sz w:val="32"/>
          <w:szCs w:val="32"/>
          <w:lang w:val="en-US"/>
        </w:rPr>
        <w:t>Results and discussion</w:t>
      </w:r>
    </w:p>
    <w:p w14:paraId="4298EF6F" w14:textId="77777777" w:rsidR="007715D2" w:rsidRDefault="007715D2" w:rsidP="00673864">
      <w:pPr>
        <w:ind w:firstLine="0"/>
        <w:rPr>
          <w:rFonts w:ascii="Calibri" w:hAnsi="Calibri" w:cs="Calibri"/>
          <w:bCs/>
          <w:sz w:val="24"/>
          <w:szCs w:val="24"/>
          <w:lang w:val="en-US" w:eastAsia="ru-RU"/>
        </w:rPr>
      </w:pPr>
    </w:p>
    <w:p w14:paraId="57F178DA" w14:textId="77777777" w:rsidR="007715D2" w:rsidRDefault="007715D2" w:rsidP="00673864">
      <w:pPr>
        <w:ind w:firstLine="0"/>
        <w:rPr>
          <w:rFonts w:ascii="Calibri" w:hAnsi="Calibri" w:cs="Calibri"/>
          <w:bCs/>
          <w:sz w:val="24"/>
          <w:szCs w:val="24"/>
          <w:lang w:val="en-US" w:eastAsia="ru-RU"/>
        </w:rPr>
      </w:pPr>
    </w:p>
    <w:p w14:paraId="66452714" w14:textId="002649FF" w:rsidR="003D6E94" w:rsidRPr="00673864" w:rsidRDefault="00C72694" w:rsidP="00673864">
      <w:pPr>
        <w:ind w:firstLine="0"/>
        <w:rPr>
          <w:rFonts w:ascii="Calibri" w:hAnsi="Calibri" w:cs="Calibri"/>
          <w:bCs/>
          <w:sz w:val="24"/>
          <w:szCs w:val="24"/>
          <w:lang w:val="en-US" w:eastAsia="ru-RU"/>
        </w:rPr>
      </w:pPr>
      <w:r w:rsidRPr="00673864">
        <w:rPr>
          <w:rFonts w:ascii="Calibri" w:hAnsi="Calibri" w:cs="Calibri"/>
          <w:bCs/>
          <w:sz w:val="24"/>
          <w:szCs w:val="24"/>
          <w:lang w:val="en-US" w:eastAsia="ru-RU"/>
        </w:rPr>
        <w:t>The bibliometric analysis highlighted key citation metrics for research on SDT in HE from 1979 to 2024, as presented in Table 1. Over the 46-year publication period, 862 publications were produced by 2,753 authors, documenting the scale of the field’s authorship base. These studies received 11,993 citations. The mean number of citations per paper was 13.90. However, the 635 cited publications received an average of 18.87 citations each, indicating the citation impact of the referenced studies within the literature.</w:t>
      </w:r>
    </w:p>
    <w:p w14:paraId="05F92514" w14:textId="65B62C65" w:rsidR="003D6E94" w:rsidRDefault="00C72694" w:rsidP="00673864">
      <w:pPr>
        <w:ind w:firstLine="0"/>
        <w:rPr>
          <w:rFonts w:ascii="Calibri" w:hAnsi="Calibri" w:cs="Calibri"/>
          <w:bCs/>
          <w:sz w:val="24"/>
          <w:szCs w:val="24"/>
          <w:lang w:val="en-US" w:eastAsia="ru-RU"/>
        </w:rPr>
      </w:pPr>
      <w:r w:rsidRPr="00673864">
        <w:rPr>
          <w:rFonts w:ascii="Calibri" w:hAnsi="Calibri" w:cs="Calibri"/>
          <w:bCs/>
          <w:sz w:val="24"/>
          <w:szCs w:val="24"/>
          <w:lang w:val="en-US" w:eastAsia="ru-RU"/>
        </w:rPr>
        <w:t>The citation profile of the field, as shown in Table 1, includes an h-index of 51 and a g-index of 84, indicating a substantial body of highly cited work. The m-index of 1.109 contextualizes the h-index in relation to the length of the publication period. Furthermore, the 9,947 citations within the h-core show that a substantial proportion of the field’s citation influence is concentrated among its most prominent articles. Together, these measures indicate the citation visibility accumulated by SDT-related higher education research.</w:t>
      </w:r>
    </w:p>
    <w:p w14:paraId="18D207D2" w14:textId="77777777" w:rsidR="007715D2" w:rsidRPr="00673864" w:rsidRDefault="007715D2" w:rsidP="00673864">
      <w:pPr>
        <w:ind w:firstLine="0"/>
        <w:rPr>
          <w:rFonts w:ascii="Calibri" w:hAnsi="Calibri" w:cs="Calibri"/>
          <w:bCs/>
          <w:sz w:val="24"/>
          <w:szCs w:val="24"/>
          <w:lang w:val="en-US" w:eastAsia="ru-RU"/>
        </w:rPr>
      </w:pPr>
    </w:p>
    <w:p w14:paraId="50AA4158" w14:textId="0AE2E379" w:rsidR="003D6E94" w:rsidRPr="007715D2" w:rsidRDefault="00C72694" w:rsidP="007715D2">
      <w:pPr>
        <w:ind w:firstLine="0"/>
        <w:jc w:val="center"/>
        <w:rPr>
          <w:rFonts w:ascii="Calibri" w:hAnsi="Calibri" w:cs="Calibri"/>
          <w:sz w:val="22"/>
        </w:rPr>
      </w:pPr>
      <w:bookmarkStart w:id="2" w:name="OLE_LINK33"/>
      <w:bookmarkStart w:id="3" w:name="OLE_LINK32"/>
      <w:bookmarkStart w:id="4" w:name="OLE_LINK41"/>
      <w:bookmarkStart w:id="5" w:name="OLE_LINK40"/>
      <w:r w:rsidRPr="007715D2">
        <w:rPr>
          <w:rFonts w:ascii="Calibri" w:hAnsi="Calibri" w:cs="Calibri"/>
          <w:b/>
          <w:sz w:val="22"/>
        </w:rPr>
        <w:t>Table 1</w:t>
      </w:r>
      <w:bookmarkEnd w:id="2"/>
      <w:bookmarkEnd w:id="3"/>
      <w:r w:rsidR="007715D2">
        <w:rPr>
          <w:rFonts w:ascii="Calibri" w:hAnsi="Calibri" w:cs="Calibri"/>
          <w:b/>
          <w:sz w:val="22"/>
          <w:lang w:val="es-ES"/>
        </w:rPr>
        <w:t>:</w:t>
      </w:r>
      <w:r w:rsidRPr="007715D2">
        <w:rPr>
          <w:rFonts w:ascii="Calibri" w:hAnsi="Calibri" w:cs="Calibri"/>
          <w:sz w:val="22"/>
        </w:rPr>
        <w:t xml:space="preserve"> Citation metrics</w:t>
      </w:r>
    </w:p>
    <w:tbl>
      <w:tblPr>
        <w:tblW w:w="7736" w:type="dxa"/>
        <w:jc w:val="center"/>
        <w:tblLook w:val="04A0" w:firstRow="1" w:lastRow="0" w:firstColumn="1" w:lastColumn="0" w:noHBand="0" w:noVBand="1"/>
      </w:tblPr>
      <w:tblGrid>
        <w:gridCol w:w="4886"/>
        <w:gridCol w:w="2850"/>
      </w:tblGrid>
      <w:tr w:rsidR="00C069B7" w:rsidRPr="007715D2" w14:paraId="462BA2D8"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l2br w:val="nil"/>
            </w:tcBorders>
            <w:shd w:val="clear" w:color="auto" w:fill="FFFFFF"/>
            <w:noWrap/>
            <w:vAlign w:val="bottom"/>
          </w:tcPr>
          <w:p w14:paraId="2E99B01A"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en-GB"/>
              </w:rPr>
              <w:t>Main Information</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90594D5"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en-GB"/>
              </w:rPr>
              <w:t>Data</w:t>
            </w:r>
          </w:p>
        </w:tc>
      </w:tr>
      <w:tr w:rsidR="00C069B7" w:rsidRPr="007715D2" w14:paraId="5955CF0A"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3130ECA"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Publication Years</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D2B1873"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1979 - 2024</w:t>
            </w:r>
          </w:p>
        </w:tc>
      </w:tr>
      <w:tr w:rsidR="00C069B7" w:rsidRPr="007715D2" w14:paraId="3D61A38A"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BF4959D"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Total Publications</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11C7FDB"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862</w:t>
            </w:r>
          </w:p>
        </w:tc>
      </w:tr>
      <w:tr w:rsidR="00C069B7" w:rsidRPr="007715D2" w14:paraId="7B9C8BD2"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5CBBAB3"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Citable Year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3C65AF7"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46</w:t>
            </w:r>
          </w:p>
        </w:tc>
      </w:tr>
      <w:tr w:rsidR="00C069B7" w:rsidRPr="007715D2" w14:paraId="18D46F51"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FACEC2D"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Number of Contributing Authors</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7ED61F9"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2753</w:t>
            </w:r>
          </w:p>
        </w:tc>
      </w:tr>
      <w:tr w:rsidR="00C069B7" w:rsidRPr="007715D2" w14:paraId="579025C8"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8BF3272"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Number of Cited Papers</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9FF05D9"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635</w:t>
            </w:r>
          </w:p>
        </w:tc>
      </w:tr>
      <w:tr w:rsidR="00C069B7" w:rsidRPr="007715D2" w14:paraId="58A72F31"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0063C3A"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Total Citations</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A415D5B"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11,993</w:t>
            </w:r>
          </w:p>
        </w:tc>
      </w:tr>
      <w:tr w:rsidR="00C069B7" w:rsidRPr="007715D2" w14:paraId="3D4C5BA8"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0CA616A"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Citation per Paper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F07E798"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13.90</w:t>
            </w:r>
          </w:p>
        </w:tc>
      </w:tr>
      <w:tr w:rsidR="00C069B7" w:rsidRPr="007715D2" w14:paraId="27E24CE8"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56500AB"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Citation per Cited Paper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D76247"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18.87</w:t>
            </w:r>
          </w:p>
        </w:tc>
      </w:tr>
      <w:tr w:rsidR="00C069B7" w:rsidRPr="007715D2" w14:paraId="5813D5B6"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FAD37B9"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Citation per Year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33F8D13"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266.29</w:t>
            </w:r>
          </w:p>
        </w:tc>
      </w:tr>
      <w:tr w:rsidR="00C069B7" w:rsidRPr="007715D2" w14:paraId="0AB32AB4"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BFA8FB8"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Citation per Author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6684F33"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4.35</w:t>
            </w:r>
          </w:p>
        </w:tc>
      </w:tr>
      <w:tr w:rsidR="00C069B7" w:rsidRPr="007715D2" w14:paraId="7D30C063"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679E055"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Author per Paper</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C9FE568"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3.19</w:t>
            </w:r>
          </w:p>
        </w:tc>
      </w:tr>
      <w:tr w:rsidR="00C069B7" w:rsidRPr="007715D2" w14:paraId="13142C6C"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518E99" w14:textId="77777777" w:rsidR="003D6E94" w:rsidRPr="007715D2" w:rsidRDefault="00C72694" w:rsidP="00673864">
            <w:pPr>
              <w:ind w:firstLine="0"/>
              <w:rPr>
                <w:rFonts w:ascii="Calibri" w:eastAsia="Times New Roman" w:hAnsi="Calibri" w:cs="Calibri"/>
                <w:sz w:val="22"/>
                <w:lang w:val="en-US" w:eastAsia="en-GB"/>
              </w:rPr>
            </w:pPr>
            <w:r w:rsidRPr="007715D2">
              <w:rPr>
                <w:rFonts w:ascii="Calibri" w:eastAsia="Times New Roman" w:hAnsi="Calibri" w:cs="Calibri"/>
                <w:sz w:val="22"/>
                <w:lang w:val="en-US" w:eastAsia="ru-RU"/>
              </w:rPr>
              <w:t>Citation sum within h-Core</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DD86E82"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9,947</w:t>
            </w:r>
          </w:p>
        </w:tc>
      </w:tr>
      <w:tr w:rsidR="00C069B7" w:rsidRPr="007715D2" w14:paraId="764ED7FF"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7F8F1BF"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h-index</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45EDCF0"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51</w:t>
            </w:r>
          </w:p>
        </w:tc>
      </w:tr>
      <w:tr w:rsidR="00C069B7" w:rsidRPr="007715D2" w14:paraId="5BC3777E"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9C158BB"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g-index</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975EAF5"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84</w:t>
            </w:r>
          </w:p>
        </w:tc>
      </w:tr>
      <w:tr w:rsidR="00C069B7" w:rsidRPr="007715D2" w14:paraId="5FF17FCF" w14:textId="77777777" w:rsidTr="007715D2">
        <w:trPr>
          <w:jc w:val="center"/>
        </w:trPr>
        <w:tc>
          <w:tcPr>
            <w:tcW w:w="4886"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4CC0957"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m-index</w:t>
            </w:r>
          </w:p>
        </w:tc>
        <w:tc>
          <w:tcPr>
            <w:tcW w:w="285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8F5660" w14:textId="77777777" w:rsidR="003D6E94" w:rsidRPr="007715D2" w:rsidRDefault="00C72694" w:rsidP="00673864">
            <w:pPr>
              <w:ind w:firstLine="0"/>
              <w:rPr>
                <w:rFonts w:ascii="Calibri" w:eastAsia="Times New Roman" w:hAnsi="Calibri" w:cs="Calibri"/>
                <w:sz w:val="22"/>
                <w:lang w:val="es-CO" w:eastAsia="en-GB"/>
              </w:rPr>
            </w:pPr>
            <w:r w:rsidRPr="007715D2">
              <w:rPr>
                <w:rFonts w:ascii="Calibri" w:eastAsia="Times New Roman" w:hAnsi="Calibri" w:cs="Calibri"/>
                <w:sz w:val="22"/>
                <w:lang w:val="es-CO" w:eastAsia="ru-RU"/>
              </w:rPr>
              <w:t>1.109</w:t>
            </w:r>
          </w:p>
        </w:tc>
      </w:tr>
    </w:tbl>
    <w:p w14:paraId="7702A974" w14:textId="77777777" w:rsidR="007715D2" w:rsidRDefault="007715D2" w:rsidP="00673864">
      <w:pPr>
        <w:ind w:firstLine="0"/>
        <w:rPr>
          <w:rFonts w:ascii="Calibri" w:eastAsia="Times New Roman" w:hAnsi="Calibri" w:cs="Calibri"/>
          <w:sz w:val="24"/>
          <w:szCs w:val="24"/>
          <w:lang w:val="en-US" w:eastAsia="ru-RU"/>
        </w:rPr>
      </w:pPr>
      <w:bookmarkStart w:id="6" w:name="bookmark5"/>
      <w:bookmarkEnd w:id="4"/>
      <w:bookmarkEnd w:id="5"/>
    </w:p>
    <w:p w14:paraId="39F25431" w14:textId="72D8187E"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The analysis of document types related to SDT in HE, as presented in Table 2, identified 862 publications, the majority of which were articles, accounting for 80.90% (699). This frequency highlights peer-reviewed articles as the principal vehicle for disseminating original research and theoretical insights within the academic community</w:t>
      </w:r>
      <w:r w:rsidR="007B370E" w:rsidRPr="00673864">
        <w:rPr>
          <w:rFonts w:ascii="Calibri" w:eastAsia="Times New Roman" w:hAnsi="Calibri" w:cs="Calibri"/>
          <w:sz w:val="24"/>
          <w:szCs w:val="24"/>
          <w:lang w:val="en-US" w:eastAsia="ru-RU"/>
        </w:rPr>
        <w:t xml:space="preserve">. </w:t>
      </w:r>
      <w:r w:rsidRPr="00673864">
        <w:rPr>
          <w:rFonts w:ascii="Calibri" w:eastAsia="Times New Roman" w:hAnsi="Calibri" w:cs="Calibri"/>
          <w:sz w:val="24"/>
          <w:szCs w:val="24"/>
          <w:lang w:val="en-US" w:eastAsia="ru-RU"/>
        </w:rPr>
        <w:t>Conference papers represented 7.64% (66) of the total, reflecting their role in communicating preliminary findings and facilitating scholarly exchange. Book chapters accounted for 6.02% (52), showing that edited-volume publications also contributed to the corpus. Review articles represented 3.59% (31), while books and conference reviews accounted for 1.04% (9) and 0.58% (5), respectively. This distribution describes the range of publication formats through which SDT-related knowledge has been disseminated.</w:t>
      </w:r>
    </w:p>
    <w:p w14:paraId="673085AB" w14:textId="77777777" w:rsidR="007715D2" w:rsidRPr="00673864" w:rsidRDefault="007715D2" w:rsidP="00673864">
      <w:pPr>
        <w:ind w:firstLine="0"/>
        <w:rPr>
          <w:rFonts w:ascii="Calibri" w:eastAsia="Times New Roman" w:hAnsi="Calibri" w:cs="Calibri"/>
          <w:sz w:val="24"/>
          <w:szCs w:val="24"/>
          <w:lang w:val="en-US" w:eastAsia="ru-RU"/>
        </w:rPr>
      </w:pPr>
    </w:p>
    <w:p w14:paraId="2094BA23" w14:textId="3C9B1864" w:rsidR="003D6E94" w:rsidRPr="007715D2" w:rsidRDefault="007715D2" w:rsidP="007715D2">
      <w:pPr>
        <w:ind w:firstLine="0"/>
        <w:jc w:val="center"/>
        <w:rPr>
          <w:rFonts w:ascii="Calibri" w:hAnsi="Calibri" w:cs="Calibri"/>
          <w:sz w:val="22"/>
        </w:rPr>
      </w:pPr>
      <w:bookmarkStart w:id="7" w:name="OLE_LINK43"/>
      <w:bookmarkStart w:id="8" w:name="OLE_LINK42"/>
      <w:r w:rsidRPr="007715D2">
        <w:rPr>
          <w:rFonts w:ascii="Calibri" w:hAnsi="Calibri" w:cs="Calibri"/>
          <w:b/>
          <w:sz w:val="22"/>
        </w:rPr>
        <w:t>Table 2</w:t>
      </w:r>
      <w:r w:rsidRPr="007715D2">
        <w:rPr>
          <w:rFonts w:ascii="Calibri" w:hAnsi="Calibri" w:cs="Calibri"/>
          <w:b/>
          <w:sz w:val="22"/>
          <w:lang w:val="es-ES"/>
        </w:rPr>
        <w:t>:</w:t>
      </w:r>
      <w:r w:rsidR="00C72694" w:rsidRPr="007715D2">
        <w:rPr>
          <w:rFonts w:ascii="Calibri" w:hAnsi="Calibri" w:cs="Calibri"/>
          <w:sz w:val="22"/>
        </w:rPr>
        <w:t xml:space="preserve"> Document Type</w:t>
      </w:r>
    </w:p>
    <w:tbl>
      <w:tblPr>
        <w:tblW w:w="4433" w:type="pct"/>
        <w:jc w:val="center"/>
        <w:tblBorders>
          <w:top w:val="single" w:sz="4" w:space="0" w:color="auto"/>
          <w:bottom w:val="single" w:sz="4" w:space="0" w:color="auto"/>
        </w:tblBorders>
        <w:tblLook w:val="04A0" w:firstRow="1" w:lastRow="0" w:firstColumn="1" w:lastColumn="0" w:noHBand="0" w:noVBand="1"/>
      </w:tblPr>
      <w:tblGrid>
        <w:gridCol w:w="2192"/>
        <w:gridCol w:w="3320"/>
        <w:gridCol w:w="3322"/>
      </w:tblGrid>
      <w:tr w:rsidR="00C069B7" w:rsidRPr="00673864" w14:paraId="03040FBB"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l2br w:val="nil"/>
            </w:tcBorders>
            <w:shd w:val="clear" w:color="auto" w:fill="FFFFFF"/>
            <w:vAlign w:val="bottom"/>
          </w:tcPr>
          <w:p w14:paraId="04B59E7F" w14:textId="77777777" w:rsidR="003D6E94" w:rsidRPr="00673864" w:rsidRDefault="00C72694" w:rsidP="00673864">
            <w:pPr>
              <w:ind w:firstLine="0"/>
              <w:rPr>
                <w:rFonts w:ascii="Calibri" w:eastAsia="Times New Roman" w:hAnsi="Calibri" w:cs="Calibri"/>
                <w:sz w:val="24"/>
                <w:szCs w:val="24"/>
                <w:lang w:val="en-US"/>
              </w:rPr>
            </w:pPr>
            <w:r w:rsidRPr="00673864">
              <w:rPr>
                <w:rFonts w:ascii="Calibri" w:eastAsia="Times New Roman" w:hAnsi="Calibri" w:cs="Calibri"/>
                <w:sz w:val="24"/>
                <w:szCs w:val="24"/>
                <w:lang w:val="en-US" w:eastAsia="ru-RU"/>
              </w:rPr>
              <w:t>Document Type</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8E101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Total Publications</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30BB3F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Percentage (%)</w:t>
            </w:r>
          </w:p>
        </w:tc>
      </w:tr>
      <w:tr w:rsidR="00C069B7" w:rsidRPr="00673864" w14:paraId="200FB4BC"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DC3C38" w14:textId="77777777" w:rsidR="003D6E94" w:rsidRPr="00673864" w:rsidRDefault="00C72694" w:rsidP="00673864">
            <w:pPr>
              <w:ind w:firstLine="0"/>
              <w:rPr>
                <w:rFonts w:ascii="Calibri" w:eastAsia="Times New Roman" w:hAnsi="Calibri" w:cs="Calibri"/>
                <w:sz w:val="24"/>
                <w:szCs w:val="24"/>
                <w:lang w:val="en-US" w:eastAsia="en-GB"/>
              </w:rPr>
            </w:pPr>
            <w:bookmarkStart w:id="9" w:name="_Hlk517178902"/>
            <w:r w:rsidRPr="00673864">
              <w:rPr>
                <w:rFonts w:ascii="Calibri" w:eastAsia="Times New Roman" w:hAnsi="Calibri" w:cs="Calibri"/>
                <w:sz w:val="24"/>
                <w:szCs w:val="24"/>
                <w:lang w:val="en-US" w:eastAsia="en-GB"/>
              </w:rPr>
              <w:t>Article</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FF0E89"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699</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DD4E40"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80.90%</w:t>
            </w:r>
          </w:p>
        </w:tc>
      </w:tr>
      <w:tr w:rsidR="00C069B7" w:rsidRPr="00673864" w14:paraId="64C1FC12"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5954EB7"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Conference Paper</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F981B9"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66</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F2555F"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7.64%</w:t>
            </w:r>
          </w:p>
        </w:tc>
      </w:tr>
      <w:tr w:rsidR="00C069B7" w:rsidRPr="00673864" w14:paraId="170980ED"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0F02139"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Book Chapter</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3743A7"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52</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2B1D22"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6.02%</w:t>
            </w:r>
          </w:p>
        </w:tc>
      </w:tr>
      <w:tr w:rsidR="00C069B7" w:rsidRPr="00673864" w14:paraId="0FACCC55"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A3BE8A"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Review</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D1A80C"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31</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28AE21"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3.59%</w:t>
            </w:r>
          </w:p>
        </w:tc>
      </w:tr>
      <w:tr w:rsidR="00C069B7" w:rsidRPr="00673864" w14:paraId="10394B30"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279006"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Book</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FCD2A65"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9</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E0340B"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1.04%</w:t>
            </w:r>
          </w:p>
        </w:tc>
      </w:tr>
      <w:tr w:rsidR="00C069B7" w:rsidRPr="00673864" w14:paraId="67652D79"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0624F7"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Conference Review</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C4D7DE"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5</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9A4C13" w14:textId="77777777" w:rsidR="003D6E94" w:rsidRPr="00673864" w:rsidRDefault="00C72694" w:rsidP="00673864">
            <w:pPr>
              <w:ind w:firstLine="0"/>
              <w:rPr>
                <w:rFonts w:ascii="Calibri" w:eastAsia="Times New Roman" w:hAnsi="Calibri" w:cs="Calibri"/>
                <w:sz w:val="24"/>
                <w:szCs w:val="24"/>
                <w:lang w:val="en-US" w:eastAsia="en-GB"/>
              </w:rPr>
            </w:pPr>
            <w:r w:rsidRPr="00673864">
              <w:rPr>
                <w:rFonts w:ascii="Calibri" w:eastAsia="Times New Roman" w:hAnsi="Calibri" w:cs="Calibri"/>
                <w:sz w:val="24"/>
                <w:szCs w:val="24"/>
                <w:lang w:val="en-US" w:eastAsia="en-GB"/>
              </w:rPr>
              <w:t>0.58%</w:t>
            </w:r>
          </w:p>
        </w:tc>
      </w:tr>
      <w:bookmarkEnd w:id="9"/>
      <w:tr w:rsidR="00C069B7" w:rsidRPr="00673864" w14:paraId="548281FB" w14:textId="77777777" w:rsidTr="007715D2">
        <w:trPr>
          <w:jc w:val="center"/>
        </w:trPr>
        <w:tc>
          <w:tcPr>
            <w:tcW w:w="1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8E5A1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Total</w:t>
            </w:r>
          </w:p>
        </w:tc>
        <w:tc>
          <w:tcPr>
            <w:tcW w:w="187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323FE9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862</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6EB1B4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100.00</w:t>
            </w:r>
          </w:p>
        </w:tc>
      </w:tr>
      <w:bookmarkEnd w:id="7"/>
      <w:bookmarkEnd w:id="8"/>
    </w:tbl>
    <w:p w14:paraId="4766A35D" w14:textId="77777777" w:rsidR="007715D2" w:rsidRDefault="007715D2" w:rsidP="00673864">
      <w:pPr>
        <w:ind w:firstLine="0"/>
        <w:rPr>
          <w:rFonts w:ascii="Calibri" w:eastAsia="Times New Roman" w:hAnsi="Calibri" w:cs="Calibri"/>
          <w:sz w:val="24"/>
          <w:szCs w:val="24"/>
          <w:lang w:val="en-US" w:eastAsia="ru-RU"/>
        </w:rPr>
      </w:pPr>
    </w:p>
    <w:p w14:paraId="74CD5791" w14:textId="3C5C9902"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The analysis of source types related to SDT in HE, as outlined in Table 3, revealed that publications predominantly originated from journals, accounting for 84.61% (731) of the total output. This proportion demonstrates the central role of academic journals in disseminating peer-reviewed SDT-related research. Conference proceedings comprised 6.25% (54), while books accounted for 5.67% (49) and book series represented 3.47% (30).</w:t>
      </w:r>
    </w:p>
    <w:bookmarkEnd w:id="6"/>
    <w:p w14:paraId="614F4409" w14:textId="77777777" w:rsidR="007715D2" w:rsidRDefault="007715D2" w:rsidP="00673864">
      <w:pPr>
        <w:ind w:firstLine="0"/>
        <w:rPr>
          <w:rFonts w:ascii="Calibri" w:hAnsi="Calibri" w:cs="Calibri"/>
          <w:sz w:val="24"/>
          <w:szCs w:val="24"/>
        </w:rPr>
      </w:pPr>
    </w:p>
    <w:p w14:paraId="459C1814" w14:textId="514E04EB" w:rsidR="003D6E94" w:rsidRPr="007715D2" w:rsidRDefault="007715D2" w:rsidP="007715D2">
      <w:pPr>
        <w:ind w:firstLine="0"/>
        <w:jc w:val="center"/>
        <w:rPr>
          <w:rFonts w:ascii="Calibri" w:eastAsia="Times New Roman" w:hAnsi="Calibri" w:cs="Calibri"/>
          <w:b/>
          <w:sz w:val="22"/>
          <w:lang w:val="en-GB" w:eastAsia="ru-RU"/>
        </w:rPr>
      </w:pPr>
      <w:r>
        <w:rPr>
          <w:rFonts w:ascii="Calibri" w:hAnsi="Calibri" w:cs="Calibri"/>
          <w:b/>
          <w:sz w:val="22"/>
        </w:rPr>
        <w:t>Table 3</w:t>
      </w:r>
      <w:r>
        <w:rPr>
          <w:rFonts w:ascii="Calibri" w:hAnsi="Calibri" w:cs="Calibri"/>
          <w:b/>
          <w:sz w:val="22"/>
          <w:lang w:val="es-ES"/>
        </w:rPr>
        <w:t>:</w:t>
      </w:r>
      <w:r w:rsidR="00C72694" w:rsidRPr="007715D2">
        <w:rPr>
          <w:rFonts w:ascii="Calibri" w:hAnsi="Calibri" w:cs="Calibri"/>
          <w:sz w:val="22"/>
        </w:rPr>
        <w:t xml:space="preserve"> Source Type</w:t>
      </w:r>
      <w:r w:rsidR="00AA6943" w:rsidRPr="007715D2">
        <w:rPr>
          <w:rFonts w:ascii="Calibri" w:eastAsia="Times New Roman" w:hAnsi="Calibri" w:cs="Calibri"/>
          <w:bCs/>
          <w:sz w:val="22"/>
          <w:lang w:val="en-GB" w:eastAsia="ru-RU"/>
        </w:rPr>
        <w:t>.</w:t>
      </w:r>
    </w:p>
    <w:tbl>
      <w:tblPr>
        <w:tblW w:w="4433" w:type="pct"/>
        <w:jc w:val="center"/>
        <w:tblBorders>
          <w:top w:val="single" w:sz="4" w:space="0" w:color="auto"/>
          <w:bottom w:val="single" w:sz="4" w:space="0" w:color="auto"/>
        </w:tblBorders>
        <w:tblLook w:val="04A0" w:firstRow="1" w:lastRow="0" w:firstColumn="1" w:lastColumn="0" w:noHBand="0" w:noVBand="1"/>
      </w:tblPr>
      <w:tblGrid>
        <w:gridCol w:w="2682"/>
        <w:gridCol w:w="2830"/>
        <w:gridCol w:w="3322"/>
      </w:tblGrid>
      <w:tr w:rsidR="00C069B7" w:rsidRPr="00673864" w14:paraId="4DE344AB"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l2br w:val="nil"/>
            </w:tcBorders>
            <w:shd w:val="clear" w:color="auto" w:fill="FFFFFF"/>
            <w:vAlign w:val="bottom"/>
          </w:tcPr>
          <w:p w14:paraId="10548F76" w14:textId="77777777" w:rsidR="003D6E94" w:rsidRPr="00673864" w:rsidRDefault="00C72694" w:rsidP="00673864">
            <w:pPr>
              <w:ind w:firstLine="0"/>
              <w:rPr>
                <w:rFonts w:ascii="Calibri" w:eastAsia="Times New Roman" w:hAnsi="Calibri" w:cs="Calibri"/>
                <w:sz w:val="24"/>
                <w:szCs w:val="24"/>
                <w:lang w:val="en-US"/>
              </w:rPr>
            </w:pPr>
            <w:r w:rsidRPr="00673864">
              <w:rPr>
                <w:rFonts w:ascii="Calibri" w:eastAsia="Times New Roman" w:hAnsi="Calibri" w:cs="Calibri"/>
                <w:sz w:val="24"/>
                <w:szCs w:val="24"/>
                <w:lang w:val="en-US" w:eastAsia="ru-RU"/>
              </w:rPr>
              <w:t>Source Type</w:t>
            </w:r>
          </w:p>
        </w:tc>
        <w:tc>
          <w:tcPr>
            <w:tcW w:w="16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104D5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Total Publications</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73507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Percentage (%)</w:t>
            </w:r>
          </w:p>
        </w:tc>
      </w:tr>
      <w:tr w:rsidR="00C069B7" w:rsidRPr="00673864" w14:paraId="36CE8D50"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CE20A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Journal</w:t>
            </w:r>
          </w:p>
        </w:tc>
        <w:tc>
          <w:tcPr>
            <w:tcW w:w="160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C65F0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731</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39A07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84.61%</w:t>
            </w:r>
          </w:p>
        </w:tc>
      </w:tr>
      <w:tr w:rsidR="00C069B7" w:rsidRPr="00673864" w14:paraId="0522A047"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D100ED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Conference Proceeding</w:t>
            </w:r>
          </w:p>
        </w:tc>
        <w:tc>
          <w:tcPr>
            <w:tcW w:w="160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16A46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54</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BADC9C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6.25%</w:t>
            </w:r>
          </w:p>
        </w:tc>
      </w:tr>
      <w:tr w:rsidR="00C069B7" w:rsidRPr="00673864" w14:paraId="5F66EFD6"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C6B744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Book</w:t>
            </w:r>
          </w:p>
        </w:tc>
        <w:tc>
          <w:tcPr>
            <w:tcW w:w="160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5868E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49</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BD976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5.67%</w:t>
            </w:r>
          </w:p>
        </w:tc>
      </w:tr>
      <w:tr w:rsidR="00C069B7" w:rsidRPr="00673864" w14:paraId="4D9C3C24"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0BCA4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Book Series</w:t>
            </w:r>
          </w:p>
        </w:tc>
        <w:tc>
          <w:tcPr>
            <w:tcW w:w="160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5B97A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w:t>
            </w:r>
          </w:p>
        </w:tc>
        <w:tc>
          <w:tcPr>
            <w:tcW w:w="188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AD4B7C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3.47%</w:t>
            </w:r>
          </w:p>
        </w:tc>
      </w:tr>
      <w:tr w:rsidR="00C069B7" w:rsidRPr="00673864" w14:paraId="46C9EA60" w14:textId="77777777" w:rsidTr="007715D2">
        <w:trPr>
          <w:jc w:val="center"/>
        </w:trPr>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BC16E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Total</w:t>
            </w:r>
          </w:p>
        </w:tc>
        <w:tc>
          <w:tcPr>
            <w:tcW w:w="1602" w:type="pct"/>
            <w:tcBorders>
              <w:top w:val="single" w:sz="4" w:space="0" w:color="000000"/>
              <w:left w:val="single" w:sz="4" w:space="0" w:color="000000"/>
              <w:bottom w:val="single" w:sz="4" w:space="0" w:color="000000"/>
              <w:right w:val="single" w:sz="4" w:space="0" w:color="000000"/>
            </w:tcBorders>
            <w:shd w:val="clear" w:color="auto" w:fill="FFFFFF"/>
          </w:tcPr>
          <w:p w14:paraId="33C7965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862</w:t>
            </w:r>
          </w:p>
        </w:tc>
        <w:tc>
          <w:tcPr>
            <w:tcW w:w="1880" w:type="pct"/>
            <w:tcBorders>
              <w:top w:val="single" w:sz="4" w:space="0" w:color="000000"/>
              <w:left w:val="single" w:sz="4" w:space="0" w:color="000000"/>
              <w:bottom w:val="single" w:sz="4" w:space="0" w:color="000000"/>
              <w:right w:val="single" w:sz="4" w:space="0" w:color="000000"/>
            </w:tcBorders>
            <w:shd w:val="clear" w:color="auto" w:fill="FFFFFF"/>
          </w:tcPr>
          <w:p w14:paraId="0ADFCD0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100.00</w:t>
            </w:r>
          </w:p>
        </w:tc>
      </w:tr>
    </w:tbl>
    <w:p w14:paraId="4B313460" w14:textId="77777777" w:rsidR="003D6E94" w:rsidRPr="00673864" w:rsidRDefault="003D6E94" w:rsidP="00673864">
      <w:pPr>
        <w:ind w:firstLine="0"/>
        <w:rPr>
          <w:rFonts w:ascii="Calibri" w:hAnsi="Calibri" w:cs="Calibri"/>
          <w:sz w:val="24"/>
          <w:szCs w:val="24"/>
        </w:rPr>
      </w:pPr>
    </w:p>
    <w:p w14:paraId="61949F85" w14:textId="77777777" w:rsidR="007715D2" w:rsidRDefault="00C72694" w:rsidP="00673864">
      <w:pPr>
        <w:ind w:firstLine="0"/>
        <w:rPr>
          <w:rFonts w:ascii="Calibri" w:hAnsi="Calibri" w:cs="Calibri"/>
          <w:sz w:val="24"/>
          <w:szCs w:val="24"/>
        </w:rPr>
      </w:pPr>
      <w:r w:rsidRPr="00673864">
        <w:rPr>
          <w:rFonts w:ascii="Calibri" w:hAnsi="Calibri" w:cs="Calibri"/>
          <w:sz w:val="24"/>
          <w:szCs w:val="24"/>
        </w:rPr>
        <w:t>The analysis of subject areas related to SDT in HE, as presented in Table 4, reveals a diverse academic landscape. Social sciences emerged as the predominant category, accounting for 72.45% (626) of the total output. This representation reflects the centrality of social-science perspectives in examining human behaviour and motivation within educational contexts. Psychology constituted 20.49% (177) of the publications, reflecting its foundational role in developing and applying SDT principles. Computer science accounted for 11.69% (101), showing that technology-related research forms part of the multidisciplinary knowledge base surrounding SDT, particularly in online and hybrid educational environments</w:t>
      </w:r>
      <w:r w:rsidR="00977079" w:rsidRPr="00673864">
        <w:rPr>
          <w:rFonts w:ascii="Calibri" w:hAnsi="Calibri" w:cs="Calibri"/>
          <w:sz w:val="24"/>
          <w:szCs w:val="24"/>
          <w:lang w:val="en-US"/>
        </w:rPr>
        <w:t xml:space="preserve">. </w:t>
      </w:r>
      <w:r w:rsidRPr="00673864">
        <w:rPr>
          <w:rFonts w:ascii="Calibri" w:hAnsi="Calibri" w:cs="Calibri"/>
          <w:sz w:val="24"/>
          <w:szCs w:val="24"/>
        </w:rPr>
        <w:t>Contributions from medicine, business and management, the arts and humanities, health professions, engineering, and other areas further demonstrate the multidisciplinary application of SDT.</w:t>
      </w:r>
    </w:p>
    <w:p w14:paraId="5042DB37" w14:textId="77777777" w:rsidR="007715D2" w:rsidRDefault="007715D2" w:rsidP="00673864">
      <w:pPr>
        <w:ind w:firstLine="0"/>
        <w:rPr>
          <w:rFonts w:ascii="Calibri" w:hAnsi="Calibri" w:cs="Calibri"/>
          <w:sz w:val="24"/>
          <w:szCs w:val="24"/>
        </w:rPr>
      </w:pPr>
    </w:p>
    <w:p w14:paraId="34435756" w14:textId="2603F718" w:rsidR="003D6E94" w:rsidRPr="007715D2" w:rsidRDefault="007715D2" w:rsidP="007715D2">
      <w:pPr>
        <w:ind w:firstLine="0"/>
        <w:jc w:val="center"/>
        <w:rPr>
          <w:rFonts w:ascii="Calibri" w:hAnsi="Calibri" w:cs="Calibri"/>
          <w:sz w:val="22"/>
          <w:lang w:val="es-ES"/>
        </w:rPr>
      </w:pPr>
      <w:r>
        <w:rPr>
          <w:rFonts w:ascii="Calibri" w:hAnsi="Calibri" w:cs="Calibri"/>
          <w:b/>
          <w:sz w:val="22"/>
        </w:rPr>
        <w:t>Table 4</w:t>
      </w:r>
      <w:r>
        <w:rPr>
          <w:rFonts w:ascii="Calibri" w:hAnsi="Calibri" w:cs="Calibri"/>
          <w:b/>
          <w:sz w:val="22"/>
          <w:lang w:val="es-ES"/>
        </w:rPr>
        <w:t>:</w:t>
      </w:r>
      <w:r w:rsidR="00C72694" w:rsidRPr="007715D2">
        <w:rPr>
          <w:rFonts w:ascii="Calibri" w:hAnsi="Calibri" w:cs="Calibri"/>
          <w:sz w:val="22"/>
        </w:rPr>
        <w:t xml:space="preserve"> Subject Area</w:t>
      </w:r>
    </w:p>
    <w:tbl>
      <w:tblPr>
        <w:tblW w:w="4433" w:type="pct"/>
        <w:jc w:val="center"/>
        <w:tblBorders>
          <w:top w:val="single" w:sz="4" w:space="0" w:color="auto"/>
          <w:bottom w:val="single" w:sz="4" w:space="0" w:color="auto"/>
        </w:tblBorders>
        <w:tblLook w:val="04A0" w:firstRow="1" w:lastRow="0" w:firstColumn="1" w:lastColumn="0" w:noHBand="0" w:noVBand="1"/>
      </w:tblPr>
      <w:tblGrid>
        <w:gridCol w:w="3395"/>
        <w:gridCol w:w="2723"/>
        <w:gridCol w:w="2716"/>
      </w:tblGrid>
      <w:tr w:rsidR="00C069B7" w:rsidRPr="007715D2" w14:paraId="48076280" w14:textId="77777777" w:rsidTr="007715D2">
        <w:trPr>
          <w:tblHeader/>
          <w:jc w:val="center"/>
        </w:trPr>
        <w:tc>
          <w:tcPr>
            <w:tcW w:w="1922" w:type="pct"/>
            <w:tcBorders>
              <w:top w:val="single" w:sz="4" w:space="0" w:color="000000"/>
              <w:left w:val="single" w:sz="4" w:space="0" w:color="000000"/>
              <w:bottom w:val="single" w:sz="4" w:space="0" w:color="000000"/>
              <w:right w:val="single" w:sz="4" w:space="0" w:color="000000"/>
              <w:tl2br w:val="nil"/>
            </w:tcBorders>
            <w:shd w:val="clear" w:color="auto" w:fill="FFFFFF"/>
            <w:vAlign w:val="bottom"/>
          </w:tcPr>
          <w:p w14:paraId="167A42CE" w14:textId="77777777" w:rsidR="003D6E94" w:rsidRPr="007715D2" w:rsidRDefault="00C72694" w:rsidP="00673864">
            <w:pPr>
              <w:ind w:firstLine="0"/>
              <w:rPr>
                <w:rFonts w:ascii="Calibri" w:hAnsi="Calibri" w:cs="Calibri"/>
                <w:b/>
                <w:bCs/>
                <w:sz w:val="22"/>
              </w:rPr>
            </w:pPr>
            <w:r w:rsidRPr="007715D2">
              <w:rPr>
                <w:rFonts w:ascii="Calibri" w:hAnsi="Calibri" w:cs="Calibri"/>
                <w:b/>
                <w:bCs/>
                <w:sz w:val="22"/>
              </w:rPr>
              <w:t>Subject Area</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619407" w14:textId="77777777" w:rsidR="003D6E94" w:rsidRPr="007715D2" w:rsidRDefault="00C72694" w:rsidP="00673864">
            <w:pPr>
              <w:ind w:firstLine="0"/>
              <w:rPr>
                <w:rFonts w:ascii="Calibri" w:hAnsi="Calibri" w:cs="Calibri"/>
                <w:b/>
                <w:bCs/>
                <w:sz w:val="22"/>
              </w:rPr>
            </w:pPr>
            <w:r w:rsidRPr="007715D2">
              <w:rPr>
                <w:rFonts w:ascii="Calibri" w:hAnsi="Calibri" w:cs="Calibri"/>
                <w:b/>
                <w:bCs/>
                <w:sz w:val="22"/>
              </w:rPr>
              <w:t>Total Publications</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978BD6B" w14:textId="77777777" w:rsidR="003D6E94" w:rsidRPr="007715D2" w:rsidRDefault="00C72694" w:rsidP="00673864">
            <w:pPr>
              <w:ind w:firstLine="0"/>
              <w:rPr>
                <w:rFonts w:ascii="Calibri" w:hAnsi="Calibri" w:cs="Calibri"/>
                <w:b/>
                <w:bCs/>
                <w:sz w:val="22"/>
              </w:rPr>
            </w:pPr>
            <w:r w:rsidRPr="007715D2">
              <w:rPr>
                <w:rFonts w:ascii="Calibri" w:hAnsi="Calibri" w:cs="Calibri"/>
                <w:b/>
                <w:bCs/>
                <w:sz w:val="22"/>
              </w:rPr>
              <w:t>Percentage (%)</w:t>
            </w:r>
          </w:p>
        </w:tc>
      </w:tr>
      <w:tr w:rsidR="00C069B7" w:rsidRPr="007715D2" w14:paraId="1BE4E357"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5A9DE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Social Sciences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5691CE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626</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C86D6A2"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72.45%</w:t>
            </w:r>
          </w:p>
        </w:tc>
      </w:tr>
      <w:tr w:rsidR="00C069B7" w:rsidRPr="007715D2" w14:paraId="5D5B7D1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F235F5"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Psychology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0CB812"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177</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3FE49A1"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20.49%</w:t>
            </w:r>
          </w:p>
        </w:tc>
      </w:tr>
      <w:tr w:rsidR="00C069B7" w:rsidRPr="007715D2" w14:paraId="55E8D13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9DA4F12"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Computer Science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18211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101</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3BAF22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11.69%</w:t>
            </w:r>
          </w:p>
        </w:tc>
      </w:tr>
      <w:tr w:rsidR="00C069B7" w:rsidRPr="007715D2" w14:paraId="6D55CA51"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FAEAE93"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Medicine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B6C32D1"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88</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E6479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10.19%</w:t>
            </w:r>
          </w:p>
        </w:tc>
      </w:tr>
      <w:tr w:rsidR="00C069B7" w:rsidRPr="007715D2" w14:paraId="454DE62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F3F6A6F"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Business, Management and Accounting</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EE2D21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86</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A32EFA"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9.95%</w:t>
            </w:r>
          </w:p>
        </w:tc>
      </w:tr>
      <w:tr w:rsidR="00C069B7" w:rsidRPr="007715D2" w14:paraId="5EA89F86"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82CB31"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Arts and Humanities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BA0805"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69</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D26CE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7.99%</w:t>
            </w:r>
          </w:p>
        </w:tc>
      </w:tr>
      <w:tr w:rsidR="00C069B7" w:rsidRPr="007715D2" w14:paraId="574B48A7"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5FCCE25"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Health Professions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7D1B9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60</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098218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6.94%</w:t>
            </w:r>
          </w:p>
        </w:tc>
      </w:tr>
      <w:tr w:rsidR="00C069B7" w:rsidRPr="007715D2" w14:paraId="6356D10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2F1E3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Engineering</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0A7CF6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44</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0CC293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5.09%</w:t>
            </w:r>
          </w:p>
        </w:tc>
      </w:tr>
      <w:tr w:rsidR="00C069B7" w:rsidRPr="007715D2" w14:paraId="5C1B096A"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9D67CA"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Environmental Science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A361F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39</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F2E3D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4.51%</w:t>
            </w:r>
          </w:p>
        </w:tc>
      </w:tr>
      <w:tr w:rsidR="00C069B7" w:rsidRPr="007715D2" w14:paraId="1CD09C3D"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4519B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Energy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9F7BAF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24</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FCCBF3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2.78%</w:t>
            </w:r>
          </w:p>
        </w:tc>
      </w:tr>
      <w:tr w:rsidR="00C069B7" w:rsidRPr="007715D2" w14:paraId="0AB698EC"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06A25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Economics, Econometrics and Finance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8F60DD"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17</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683D60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1.97%</w:t>
            </w:r>
          </w:p>
        </w:tc>
      </w:tr>
      <w:tr w:rsidR="00C069B7" w:rsidRPr="007715D2" w14:paraId="52B33940"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A154910"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Neuroscience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DA0AE8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15</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55127D"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1.74%</w:t>
            </w:r>
          </w:p>
        </w:tc>
      </w:tr>
      <w:tr w:rsidR="00C069B7" w:rsidRPr="007715D2" w14:paraId="3A277EFD"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A81F0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Decision Sciences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BBDE30"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14</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E478E3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1.62%</w:t>
            </w:r>
          </w:p>
        </w:tc>
      </w:tr>
      <w:tr w:rsidR="00C069B7" w:rsidRPr="007715D2" w14:paraId="363AE786"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83F93C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Mathematics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158B1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13</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785E1FA"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1.50%</w:t>
            </w:r>
          </w:p>
        </w:tc>
      </w:tr>
      <w:tr w:rsidR="00C069B7" w:rsidRPr="007715D2" w14:paraId="5CDD3DDA"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D0BFE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Multidisciplinary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5E813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13</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79010B2"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1.50%</w:t>
            </w:r>
          </w:p>
        </w:tc>
      </w:tr>
      <w:tr w:rsidR="00C069B7" w:rsidRPr="007715D2" w14:paraId="22C10CB1"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9AAF1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Nursing</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3B9F21"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8</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D54A16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0.93%</w:t>
            </w:r>
          </w:p>
        </w:tc>
      </w:tr>
      <w:tr w:rsidR="00C069B7" w:rsidRPr="007715D2" w14:paraId="7F51876F"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10AA15"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Chemistry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59C1E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7</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71297E"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0.81%</w:t>
            </w:r>
          </w:p>
        </w:tc>
      </w:tr>
      <w:tr w:rsidR="00C069B7" w:rsidRPr="007715D2" w14:paraId="2D2CA18B"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C5A42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Earth and Planetary Sciences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37960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7</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83825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0.81%</w:t>
            </w:r>
          </w:p>
        </w:tc>
      </w:tr>
      <w:tr w:rsidR="00C069B7" w:rsidRPr="007715D2" w14:paraId="1D54E487"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3E2C1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Agricultural and Biological Sciences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02E1E20"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467075"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0.69%</w:t>
            </w:r>
          </w:p>
        </w:tc>
      </w:tr>
      <w:tr w:rsidR="00C069B7" w:rsidRPr="007715D2" w14:paraId="68B0AFAC"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CFD91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Biochemistry, Genetics and Molecular Biology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C8590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6</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D0BCC7E"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0.69%</w:t>
            </w:r>
          </w:p>
        </w:tc>
      </w:tr>
      <w:tr w:rsidR="00C069B7" w:rsidRPr="007715D2" w14:paraId="6CB41945"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D5058A3"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Materials Science</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E65486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4</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981D9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0.46%</w:t>
            </w:r>
          </w:p>
        </w:tc>
      </w:tr>
      <w:tr w:rsidR="00C069B7" w:rsidRPr="007715D2" w14:paraId="1D870F13"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43A701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Physics and Astronomy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EAFE4A"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4</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2A583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0.46%</w:t>
            </w:r>
          </w:p>
        </w:tc>
      </w:tr>
      <w:tr w:rsidR="00C069B7" w:rsidRPr="007715D2" w14:paraId="63ED4D7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59FE41"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Dentistry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47BDFD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2</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4778AD"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0.23%</w:t>
            </w:r>
          </w:p>
        </w:tc>
      </w:tr>
      <w:tr w:rsidR="00C069B7" w:rsidRPr="007715D2" w14:paraId="6FB5ED8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C1355B"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Pharmacology, Toxicology and Pharmaceutics</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28B23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2</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498668"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0.23%</w:t>
            </w:r>
          </w:p>
        </w:tc>
      </w:tr>
      <w:tr w:rsidR="00C069B7" w:rsidRPr="007715D2" w14:paraId="65F15B9C"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165C176"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Chemical Engineering</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7BBA3E9"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8BE58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0.12%</w:t>
            </w:r>
          </w:p>
        </w:tc>
      </w:tr>
      <w:tr w:rsidR="00C069B7" w:rsidRPr="007715D2" w14:paraId="4CE32329"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545B4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Immunology and Microbiology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A3E399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3503E4"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0.12%</w:t>
            </w:r>
          </w:p>
        </w:tc>
      </w:tr>
      <w:tr w:rsidR="00C069B7" w:rsidRPr="007715D2" w14:paraId="2F93D334" w14:textId="77777777" w:rsidTr="007715D2">
        <w:trPr>
          <w:jc w:val="center"/>
        </w:trPr>
        <w:tc>
          <w:tcPr>
            <w:tcW w:w="192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C8B3DC"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Veterinary</w:t>
            </w:r>
          </w:p>
        </w:tc>
        <w:tc>
          <w:tcPr>
            <w:tcW w:w="15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EA8E233"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1</w:t>
            </w:r>
          </w:p>
        </w:tc>
        <w:tc>
          <w:tcPr>
            <w:tcW w:w="153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FFAB237" w14:textId="77777777" w:rsidR="003D6E94" w:rsidRPr="007715D2" w:rsidRDefault="00C72694" w:rsidP="00673864">
            <w:pPr>
              <w:ind w:firstLine="0"/>
              <w:rPr>
                <w:rFonts w:ascii="Calibri" w:eastAsia="Times New Roman" w:hAnsi="Calibri" w:cs="Calibri"/>
                <w:sz w:val="22"/>
                <w:lang w:val="en-US" w:eastAsia="ru-RU"/>
              </w:rPr>
            </w:pPr>
            <w:r w:rsidRPr="007715D2">
              <w:rPr>
                <w:rFonts w:ascii="Calibri" w:eastAsia="Times New Roman" w:hAnsi="Calibri" w:cs="Calibri"/>
                <w:sz w:val="22"/>
                <w:lang w:val="en-US" w:eastAsia="ru-RU"/>
              </w:rPr>
              <w:t>0.12%</w:t>
            </w:r>
          </w:p>
        </w:tc>
      </w:tr>
    </w:tbl>
    <w:p w14:paraId="20B2AA87" w14:textId="77777777" w:rsidR="007715D2" w:rsidRDefault="007715D2" w:rsidP="00673864">
      <w:pPr>
        <w:ind w:firstLine="0"/>
        <w:rPr>
          <w:rFonts w:ascii="Calibri" w:hAnsi="Calibri" w:cs="Calibri"/>
          <w:bCs/>
          <w:sz w:val="24"/>
          <w:szCs w:val="24"/>
          <w:lang w:val="en-US"/>
        </w:rPr>
      </w:pPr>
    </w:p>
    <w:p w14:paraId="1434D734" w14:textId="6D4D07CA" w:rsidR="00AA6943" w:rsidRPr="00673864" w:rsidRDefault="00C72694" w:rsidP="00673864">
      <w:pPr>
        <w:ind w:firstLine="0"/>
        <w:rPr>
          <w:rFonts w:ascii="Calibri" w:hAnsi="Calibri" w:cs="Calibri"/>
          <w:bCs/>
          <w:sz w:val="24"/>
          <w:szCs w:val="24"/>
          <w:lang w:val="en-US"/>
        </w:rPr>
      </w:pPr>
      <w:r w:rsidRPr="00673864">
        <w:rPr>
          <w:rFonts w:ascii="Calibri" w:hAnsi="Calibri" w:cs="Calibri"/>
          <w:bCs/>
          <w:sz w:val="24"/>
          <w:szCs w:val="24"/>
          <w:lang w:val="en-US"/>
        </w:rPr>
        <w:t>Figure 2 presents the temporal distribution of publications and citations related to SDT in HE. The blue bars indicate the total number of publications per year, whereas the orange line represents the corresponding annual citations. Publication and citation activity remained limited from 1979 to the early 2000s, with relatively few publications each year and minimal citation activity. The increase in publications became more pronounced around 2010 and coincided with growth in citations. The most substantial increase in both measures occurred between 2015 and 2023, indicating increasing academic attention to the topic.</w:t>
      </w:r>
    </w:p>
    <w:p w14:paraId="5953194A" w14:textId="2271A460" w:rsidR="00AA6943" w:rsidRDefault="00C72694" w:rsidP="00673864">
      <w:pPr>
        <w:ind w:firstLine="0"/>
        <w:rPr>
          <w:rFonts w:ascii="Calibri" w:hAnsi="Calibri" w:cs="Calibri"/>
          <w:sz w:val="24"/>
          <w:szCs w:val="24"/>
          <w:lang w:val="en-US"/>
        </w:rPr>
      </w:pPr>
      <w:r w:rsidRPr="00673864">
        <w:rPr>
          <w:rFonts w:ascii="Calibri" w:hAnsi="Calibri" w:cs="Calibri"/>
          <w:sz w:val="24"/>
          <w:szCs w:val="24"/>
          <w:lang w:val="en-US"/>
        </w:rPr>
        <w:t xml:space="preserve">The number of publications peaked in 2023 at 151, while publications from that year had accumulated 336 citations at the time of data retrieval. This difference between recent publication output and citation counts reflects the natural citation lag, as recently published work has had less time to accumulate citations. The figures for 2024—96 publications and 70 citations—should also be interpreted in light of the incomplete publication year and the limited time available for citation </w:t>
      </w:r>
      <w:r w:rsidRPr="00673864">
        <w:rPr>
          <w:rFonts w:ascii="Calibri" w:hAnsi="Calibri" w:cs="Calibri"/>
          <w:sz w:val="24"/>
          <w:szCs w:val="24"/>
        </w:rPr>
        <w:t>accumulation.</w:t>
      </w:r>
      <w:r w:rsidR="00AA6943" w:rsidRPr="00673864">
        <w:rPr>
          <w:rFonts w:ascii="Calibri" w:hAnsi="Calibri" w:cs="Calibri"/>
          <w:sz w:val="24"/>
          <w:szCs w:val="24"/>
          <w:lang w:val="en-US"/>
        </w:rPr>
        <w:t xml:space="preserve"> </w:t>
      </w:r>
    </w:p>
    <w:p w14:paraId="7CBBBD87" w14:textId="77777777" w:rsidR="007715D2" w:rsidRPr="00673864" w:rsidRDefault="007715D2" w:rsidP="00673864">
      <w:pPr>
        <w:ind w:firstLine="0"/>
        <w:rPr>
          <w:rFonts w:ascii="Calibri" w:hAnsi="Calibri" w:cs="Calibri"/>
          <w:sz w:val="24"/>
          <w:szCs w:val="24"/>
          <w:lang w:val="en-US"/>
        </w:rPr>
      </w:pPr>
    </w:p>
    <w:p w14:paraId="5A73A943" w14:textId="77777777" w:rsidR="003D6E94" w:rsidRPr="00673864" w:rsidRDefault="00C72694" w:rsidP="007D1B9F">
      <w:pPr>
        <w:ind w:left="851" w:firstLine="0"/>
        <w:jc w:val="center"/>
        <w:rPr>
          <w:rFonts w:ascii="Calibri" w:eastAsia="Times New Roman" w:hAnsi="Calibri" w:cs="Calibri"/>
          <w:sz w:val="24"/>
          <w:szCs w:val="24"/>
          <w:lang w:val="en-US" w:eastAsia="ru-RU"/>
        </w:rPr>
      </w:pPr>
      <w:r w:rsidRPr="00673864">
        <w:rPr>
          <w:rFonts w:ascii="Calibri" w:hAnsi="Calibri" w:cs="Calibri"/>
          <w:noProof/>
          <w:sz w:val="24"/>
          <w:szCs w:val="24"/>
          <w:lang w:val="en-US"/>
        </w:rPr>
        <w:drawing>
          <wp:inline distT="0" distB="0" distL="0" distR="0" wp14:anchorId="603A6505" wp14:editId="2D3D60B3">
            <wp:extent cx="5458192" cy="2336800"/>
            <wp:effectExtent l="0" t="0" r="9525" b="6350"/>
            <wp:docPr id="729382776" name="图片 1" descr="图表, 折线图,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82776" name="图片 1" descr="图表, 折线图, 直方图&#10;&#10;描述已自动生成"/>
                    <pic:cNvPicPr>
                      <a:picLocks noChangeAspect="1"/>
                    </pic:cNvPicPr>
                  </pic:nvPicPr>
                  <pic:blipFill>
                    <a:blip r:embed="rId10"/>
                    <a:stretch>
                      <a:fillRect/>
                    </a:stretch>
                  </pic:blipFill>
                  <pic:spPr>
                    <a:xfrm>
                      <a:off x="0" y="0"/>
                      <a:ext cx="5488795" cy="2349902"/>
                    </a:xfrm>
                    <a:prstGeom prst="rect">
                      <a:avLst/>
                    </a:prstGeom>
                  </pic:spPr>
                </pic:pic>
              </a:graphicData>
            </a:graphic>
          </wp:inline>
        </w:drawing>
      </w:r>
    </w:p>
    <w:p w14:paraId="22316834" w14:textId="77777777" w:rsidR="003D6E94" w:rsidRPr="00673864" w:rsidRDefault="003D6E94" w:rsidP="00673864">
      <w:pPr>
        <w:ind w:firstLine="0"/>
        <w:rPr>
          <w:rFonts w:ascii="Calibri" w:eastAsia="Times New Roman" w:hAnsi="Calibri" w:cs="Calibri"/>
          <w:sz w:val="24"/>
          <w:szCs w:val="24"/>
          <w:lang w:val="en-US" w:eastAsia="ru-RU"/>
        </w:rPr>
        <w:sectPr w:rsidR="003D6E94" w:rsidRPr="00673864" w:rsidSect="00C069B7">
          <w:type w:val="continuous"/>
          <w:pgSz w:w="12242" w:h="15842"/>
          <w:pgMar w:top="1134" w:right="1134" w:bottom="1134" w:left="1134" w:header="709" w:footer="709" w:gutter="0"/>
          <w:cols w:space="425"/>
          <w:docGrid w:linePitch="360"/>
        </w:sectPr>
      </w:pPr>
    </w:p>
    <w:p w14:paraId="198483BC" w14:textId="24FC4BFD" w:rsidR="00AA6943" w:rsidRPr="007715D2" w:rsidRDefault="00AA6943" w:rsidP="007715D2">
      <w:pPr>
        <w:ind w:firstLine="0"/>
        <w:jc w:val="center"/>
        <w:rPr>
          <w:rFonts w:ascii="Calibri" w:hAnsi="Calibri" w:cs="Calibri"/>
          <w:sz w:val="22"/>
        </w:rPr>
      </w:pPr>
      <w:r w:rsidRPr="007715D2">
        <w:rPr>
          <w:rFonts w:ascii="Calibri" w:hAnsi="Calibri" w:cs="Calibri"/>
          <w:b/>
          <w:sz w:val="22"/>
        </w:rPr>
        <w:t xml:space="preserve">Figure </w:t>
      </w:r>
      <w:r w:rsidRPr="007715D2">
        <w:rPr>
          <w:rFonts w:ascii="Calibri" w:hAnsi="Calibri" w:cs="Calibri"/>
          <w:b/>
          <w:sz w:val="22"/>
        </w:rPr>
        <w:fldChar w:fldCharType="begin"/>
      </w:r>
      <w:r w:rsidRPr="007715D2">
        <w:rPr>
          <w:rFonts w:ascii="Calibri" w:hAnsi="Calibri" w:cs="Calibri"/>
          <w:b/>
          <w:sz w:val="22"/>
        </w:rPr>
        <w:instrText xml:space="preserve"> SEQ Figure \* ARABIC </w:instrText>
      </w:r>
      <w:r w:rsidRPr="007715D2">
        <w:rPr>
          <w:rFonts w:ascii="Calibri" w:hAnsi="Calibri" w:cs="Calibri"/>
          <w:b/>
          <w:sz w:val="22"/>
        </w:rPr>
        <w:fldChar w:fldCharType="separate"/>
      </w:r>
      <w:r w:rsidRPr="007715D2">
        <w:rPr>
          <w:rFonts w:ascii="Calibri" w:hAnsi="Calibri" w:cs="Calibri"/>
          <w:b/>
          <w:sz w:val="22"/>
        </w:rPr>
        <w:t>2</w:t>
      </w:r>
      <w:r w:rsidRPr="007715D2">
        <w:rPr>
          <w:rFonts w:ascii="Calibri" w:hAnsi="Calibri" w:cs="Calibri"/>
          <w:b/>
          <w:sz w:val="22"/>
        </w:rPr>
        <w:fldChar w:fldCharType="end"/>
      </w:r>
      <w:r w:rsidR="007715D2" w:rsidRPr="007715D2">
        <w:rPr>
          <w:rFonts w:ascii="Calibri" w:hAnsi="Calibri" w:cs="Calibri"/>
          <w:b/>
          <w:sz w:val="22"/>
          <w:lang w:val="en-US"/>
        </w:rPr>
        <w:t>:</w:t>
      </w:r>
      <w:r w:rsidRPr="007715D2">
        <w:rPr>
          <w:rFonts w:ascii="Calibri" w:hAnsi="Calibri" w:cs="Calibri"/>
          <w:sz w:val="22"/>
        </w:rPr>
        <w:t xml:space="preserve"> Total Publications and Citations by Year.</w:t>
      </w:r>
    </w:p>
    <w:p w14:paraId="4395C460" w14:textId="77777777" w:rsidR="007715D2" w:rsidRDefault="007715D2" w:rsidP="00673864">
      <w:pPr>
        <w:ind w:firstLine="0"/>
        <w:rPr>
          <w:rFonts w:ascii="Calibri" w:eastAsia="Times New Roman" w:hAnsi="Calibri" w:cs="Calibri"/>
          <w:sz w:val="24"/>
          <w:szCs w:val="24"/>
          <w:lang w:eastAsia="ru-RU"/>
        </w:rPr>
      </w:pPr>
    </w:p>
    <w:p w14:paraId="50A34D71" w14:textId="618866B3"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Table 5 presents the most influential authors in SDT research, identified by an h-index greater than three. Karrie A. Shogren of the University of Kansas recorded the highest h-index of 9, with ten publications and 225 citations, corresponding to an average of 22.50 citations per publication. Lucas M. Jeno of the University of Bergen had an h-index of 6 and received 254 citations across nine publications, with an average of 28.22 citations per publication. Chantal Levesque-Bristol of Purdue University received the highest total number of citations among the listed authors, with 377 citations and an average of 47.13 citations per cited publication. The research profiles of these leading contributors are closely associated with self-determination theory and motivation, including the application of SDT across different educational contexts.</w:t>
      </w:r>
    </w:p>
    <w:p w14:paraId="0E558375" w14:textId="77777777" w:rsidR="007715D2" w:rsidRPr="00673864" w:rsidRDefault="007715D2" w:rsidP="00673864">
      <w:pPr>
        <w:ind w:firstLine="0"/>
        <w:rPr>
          <w:rFonts w:ascii="Calibri" w:eastAsia="Times New Roman" w:hAnsi="Calibri" w:cs="Calibri"/>
          <w:sz w:val="24"/>
          <w:szCs w:val="24"/>
          <w:lang w:val="en-US" w:eastAsia="ru-RU"/>
        </w:rPr>
      </w:pPr>
    </w:p>
    <w:p w14:paraId="35EA0658" w14:textId="4354203E" w:rsidR="003D6E94" w:rsidRPr="007715D2" w:rsidRDefault="007715D2" w:rsidP="007715D2">
      <w:pPr>
        <w:ind w:firstLine="0"/>
        <w:jc w:val="center"/>
        <w:rPr>
          <w:rFonts w:ascii="Calibri" w:eastAsia="Times New Roman" w:hAnsi="Calibri" w:cs="Calibri"/>
          <w:b/>
          <w:bCs/>
          <w:sz w:val="22"/>
          <w:lang w:val="en-GB" w:eastAsia="ru-RU"/>
        </w:rPr>
      </w:pPr>
      <w:r w:rsidRPr="007715D2">
        <w:rPr>
          <w:rFonts w:ascii="Calibri" w:eastAsia="Times New Roman" w:hAnsi="Calibri" w:cs="Calibri"/>
          <w:b/>
          <w:sz w:val="22"/>
          <w:lang w:val="en-GB" w:eastAsia="ru-RU"/>
        </w:rPr>
        <w:t>Table 5:</w:t>
      </w:r>
      <w:r w:rsidR="00C72694" w:rsidRPr="007715D2">
        <w:rPr>
          <w:rFonts w:ascii="Calibri" w:eastAsia="Times New Roman" w:hAnsi="Calibri" w:cs="Calibri"/>
          <w:sz w:val="22"/>
          <w:lang w:val="en-GB" w:eastAsia="ru-RU"/>
        </w:rPr>
        <w:t xml:space="preserve"> Most Influential Authors </w:t>
      </w:r>
      <w:bookmarkStart w:id="10" w:name="OLE_LINK8"/>
      <w:bookmarkStart w:id="11" w:name="OLE_LINK7"/>
      <w:bookmarkStart w:id="12" w:name="OLE_LINK5"/>
      <w:bookmarkStart w:id="13" w:name="OLE_LINK6"/>
      <w:bookmarkStart w:id="14" w:name="OLE_LINK9"/>
      <w:r w:rsidR="00C72694" w:rsidRPr="007715D2">
        <w:rPr>
          <w:rFonts w:ascii="Calibri" w:eastAsia="Times New Roman" w:hAnsi="Calibri" w:cs="Calibri"/>
          <w:sz w:val="22"/>
          <w:lang w:val="en-GB" w:eastAsia="ru-RU"/>
        </w:rPr>
        <w:t>by H-Index&gt;3</w:t>
      </w:r>
      <w:bookmarkEnd w:id="10"/>
      <w:bookmarkEnd w:id="11"/>
      <w:bookmarkEnd w:id="12"/>
      <w:bookmarkEnd w:id="13"/>
      <w:bookmarkEnd w:id="14"/>
    </w:p>
    <w:tbl>
      <w:tblPr>
        <w:tblW w:w="4850" w:type="pct"/>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694"/>
        <w:gridCol w:w="1344"/>
        <w:gridCol w:w="1041"/>
        <w:gridCol w:w="570"/>
        <w:gridCol w:w="661"/>
        <w:gridCol w:w="615"/>
        <w:gridCol w:w="920"/>
        <w:gridCol w:w="820"/>
        <w:gridCol w:w="518"/>
        <w:gridCol w:w="514"/>
        <w:gridCol w:w="968"/>
      </w:tblGrid>
      <w:tr w:rsidR="00C069B7" w:rsidRPr="00673864" w14:paraId="03DE83BC"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6E023AA7" w14:textId="77777777" w:rsidR="003D6E94" w:rsidRPr="00673864" w:rsidRDefault="00C72694" w:rsidP="00673864">
            <w:pPr>
              <w:ind w:firstLine="0"/>
              <w:rPr>
                <w:rFonts w:ascii="Calibri" w:eastAsia="Times New Roman" w:hAnsi="Calibri" w:cs="Calibri"/>
                <w:sz w:val="24"/>
                <w:szCs w:val="24"/>
                <w:lang w:val="es-CO"/>
              </w:rPr>
            </w:pPr>
            <w:r w:rsidRPr="00673864">
              <w:rPr>
                <w:rFonts w:ascii="Calibri" w:eastAsia="Times New Roman" w:hAnsi="Calibri" w:cs="Calibri"/>
                <w:sz w:val="24"/>
                <w:szCs w:val="24"/>
                <w:lang w:val="es-CO" w:eastAsia="ru-RU"/>
              </w:rPr>
              <w:t>Author’s Name</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910CF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Current Affiliation</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AAE93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Country</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C2F25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TP</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D81FB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NCP</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45921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TC</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02315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C/P</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2B4D7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C/CP</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47A21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h</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21968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g</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99B5C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m</w:t>
            </w:r>
          </w:p>
        </w:tc>
      </w:tr>
      <w:tr w:rsidR="00C069B7" w:rsidRPr="00673864" w14:paraId="6D7E4050"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7075E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Shogren, Karrie A.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66DD2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University of Kansas</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3F05A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CC87B0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10</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24D7E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10</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7C2F8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225</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375F9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22.50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C5B547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22.50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6C4119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9</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AE3250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10</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100AE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0.692</w:t>
            </w:r>
          </w:p>
        </w:tc>
      </w:tr>
      <w:tr w:rsidR="00C069B7" w:rsidRPr="00673864" w14:paraId="179168EE"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76307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Jeno, Lucas M.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2DA17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University of Bergen</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5991FF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Norway</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6BFB4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9</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92D31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8</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B9EBF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254</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D9DE97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28.22</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12AE2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31.75</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DAF2CC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55099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9</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5D83A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0.750</w:t>
            </w:r>
          </w:p>
        </w:tc>
      </w:tr>
      <w:tr w:rsidR="00C069B7" w:rsidRPr="00673864" w14:paraId="552AA560"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73273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Levesque-Bristol, Chantal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CB417A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Purdue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3FC8E7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F1CCB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9</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94824E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8</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BCC59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377</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7F57F5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41.89</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21D5C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47.13</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1362E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7</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BC6EEF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9</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C9937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1.167</w:t>
            </w:r>
          </w:p>
        </w:tc>
      </w:tr>
      <w:tr w:rsidR="00C069B7" w:rsidRPr="00673864" w14:paraId="3950D834" w14:textId="77777777" w:rsidTr="007715D2">
        <w:trPr>
          <w:trHeight w:val="727"/>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1744B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Kaur, Amrita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B40F7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Wenzhou-Kean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1C188F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China</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8B1466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7</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3E7886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67E7B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75</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309E8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10.71</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3EC5D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12.50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037807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4784F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7</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C57CC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0.833</w:t>
            </w:r>
          </w:p>
        </w:tc>
      </w:tr>
      <w:tr w:rsidR="00C069B7" w:rsidRPr="00673864" w14:paraId="277B106E" w14:textId="77777777" w:rsidTr="007715D2">
        <w:trPr>
          <w:trHeight w:val="727"/>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830AA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Moreno-Murcia, Juan Antonio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3D42C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Miguel Hernández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377B1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Spain</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7B424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A9AA5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5F835E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86</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37B8C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14.33</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B975E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17.20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EDDCD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B3DF27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28C328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0.500</w:t>
            </w:r>
          </w:p>
        </w:tc>
      </w:tr>
      <w:tr w:rsidR="00C069B7" w:rsidRPr="00673864" w14:paraId="4C750B2E"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73205F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Wehmeyer, Michael L.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51B521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University of Kansas</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429C84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F5FA6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951A3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1C6C8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81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87D479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16.20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93175E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20.25</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985025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3</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B7EBA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0D8E92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0.158</w:t>
            </w:r>
          </w:p>
        </w:tc>
      </w:tr>
      <w:tr w:rsidR="00C069B7" w:rsidRPr="00673864" w14:paraId="30E73B59" w14:textId="77777777" w:rsidTr="007715D2">
        <w:trPr>
          <w:trHeight w:val="727"/>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3ABC5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Hernández, Elisa Huéscar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5589DF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Miguel Hernández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3B0DB5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Spain</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DB141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9F53E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062CE0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78</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987188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15.60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C56E3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19.50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21A3B8"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92BA2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FC9B8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0.500</w:t>
            </w:r>
          </w:p>
        </w:tc>
      </w:tr>
      <w:tr w:rsidR="00C069B7" w:rsidRPr="00673864" w14:paraId="1401BD19"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1DC8CE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Bonem, Emily M.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15CC3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Purdue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48151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85E460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B28F7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436457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161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137E0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40.25</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3D7D62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40.25</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A3F3B56"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6D4095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762F4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0.667</w:t>
            </w:r>
          </w:p>
        </w:tc>
      </w:tr>
      <w:tr w:rsidR="00C069B7" w:rsidRPr="00673864" w14:paraId="1D033449"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C021E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Wang, Cong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E263A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Yale University</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14EBD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A91EA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08D9C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498B370"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140</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128B65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35.00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E7FB9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35.00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AC0E2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2A895E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88BFA0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0.667</w:t>
            </w:r>
          </w:p>
        </w:tc>
      </w:tr>
      <w:tr w:rsidR="00C069B7" w:rsidRPr="00673864" w14:paraId="16F7EA80" w14:textId="77777777" w:rsidTr="007715D2">
        <w:trPr>
          <w:trHeight w:val="48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EF99D47"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Awang-Hashim, Rosna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9136E9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Universiti Utara Malaysia</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986100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Malaysia</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22152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92DBAE"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025982"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50</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30AC0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12.50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43DC7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12.50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36E626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C0FB34"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71E8AB"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0.800</w:t>
            </w:r>
          </w:p>
        </w:tc>
      </w:tr>
      <w:tr w:rsidR="00C069B7" w:rsidRPr="00673864" w14:paraId="484E995E" w14:textId="77777777" w:rsidTr="007715D2">
        <w:trPr>
          <w:trHeight w:val="508"/>
          <w:jc w:val="center"/>
        </w:trPr>
        <w:tc>
          <w:tcPr>
            <w:tcW w:w="8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EBE61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 xml:space="preserve">Stupnisky, Robert </w:t>
            </w:r>
          </w:p>
        </w:tc>
        <w:tc>
          <w:tcPr>
            <w:tcW w:w="6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E63BD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University of North Dakota</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693B31A"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United States</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B4AC529"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7A9221"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44ECD5"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264</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3E6FF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66.00</w:t>
            </w:r>
          </w:p>
        </w:tc>
        <w:tc>
          <w:tcPr>
            <w:tcW w:w="42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05AF0C3"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66.00</w:t>
            </w:r>
          </w:p>
        </w:tc>
        <w:tc>
          <w:tcPr>
            <w:tcW w:w="26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BD336FD"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26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0F1730F"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4</w:t>
            </w:r>
          </w:p>
        </w:tc>
        <w:tc>
          <w:tcPr>
            <w:tcW w:w="50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9D7D68C" w14:textId="77777777" w:rsidR="003D6E94" w:rsidRPr="00673864" w:rsidRDefault="00C72694" w:rsidP="00673864">
            <w:pPr>
              <w:ind w:firstLine="0"/>
              <w:rPr>
                <w:rFonts w:ascii="Calibri" w:eastAsia="Times New Roman" w:hAnsi="Calibri" w:cs="Calibri"/>
                <w:sz w:val="24"/>
                <w:szCs w:val="24"/>
                <w:lang w:val="es-CO" w:eastAsia="ru-RU"/>
              </w:rPr>
            </w:pPr>
            <w:r w:rsidRPr="00673864">
              <w:rPr>
                <w:rFonts w:ascii="Calibri" w:eastAsia="Times New Roman" w:hAnsi="Calibri" w:cs="Calibri"/>
                <w:sz w:val="24"/>
                <w:szCs w:val="24"/>
                <w:lang w:val="es-CO" w:eastAsia="ru-RU"/>
              </w:rPr>
              <w:t>0.500</w:t>
            </w:r>
          </w:p>
        </w:tc>
      </w:tr>
    </w:tbl>
    <w:p w14:paraId="643D04E5" w14:textId="77777777" w:rsidR="007715D2" w:rsidRDefault="00C72694" w:rsidP="007715D2">
      <w:pPr>
        <w:ind w:left="142" w:right="193" w:firstLine="0"/>
        <w:rPr>
          <w:rFonts w:ascii="Calibri" w:eastAsia="Times New Roman" w:hAnsi="Calibri" w:cs="Calibri"/>
          <w:sz w:val="24"/>
          <w:szCs w:val="24"/>
          <w:lang w:val="en-US" w:eastAsia="ru-RU"/>
        </w:rPr>
      </w:pPr>
      <w:r w:rsidRPr="007715D2">
        <w:rPr>
          <w:rFonts w:ascii="Calibri" w:eastAsia="Times New Roman" w:hAnsi="Calibri" w:cs="Calibri"/>
          <w:sz w:val="16"/>
          <w:szCs w:val="16"/>
          <w:lang w:val="en-US" w:eastAsia="ru-RU"/>
        </w:rPr>
        <w:t>Notes: TP=total number of publications; NCA=Number of contributing authors; NCP=number of cited publications; TC=total citations; C/P=average citations per publication; C/CP=average citations per cited publication; h=h-index; g=g-index; and m=m-index</w:t>
      </w:r>
      <w:r w:rsidRPr="00673864">
        <w:rPr>
          <w:rFonts w:ascii="Calibri" w:eastAsia="Times New Roman" w:hAnsi="Calibri" w:cs="Calibri"/>
          <w:sz w:val="24"/>
          <w:szCs w:val="24"/>
          <w:lang w:val="en-US" w:eastAsia="ru-RU"/>
        </w:rPr>
        <w:t>.</w:t>
      </w:r>
    </w:p>
    <w:p w14:paraId="249A913F" w14:textId="05A7391C"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Table 6 presents the most productive institutions contributing to SDT research in HE, based on an h-index exceeding four. Purdue University received the highest total number of citations (593) and recorded an h-index of 10 based on 15 publications, with an average of 39.53 citations per publication. The University of Kansas also recorded an h-index of 10, based on 19 publications and 314 citations. Its average number of citations per publication was 16.53.</w:t>
      </w:r>
    </w:p>
    <w:p w14:paraId="58C2F301" w14:textId="53AD5B59"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Other prominent institutions included KU Leuven in Belgium and Curtin University in Australia, both of which recorded an h-index of 6. KU Leuven produced seven publications with an average of 33.14 citations per publication, whereas Curtin University produced eight publications with an average of 13.50 citations per publication. Universiti Utara Malaysia also recorded an h-index of 6, with eight publications and 91 citations. Table 6 reflects the geographical distribution of contributing institutions across North America, Europe, Asia, and Australia, with varying levels of publication output and citation impact.</w:t>
      </w:r>
    </w:p>
    <w:p w14:paraId="3C964936" w14:textId="77777777" w:rsidR="007715D2" w:rsidRPr="00673864" w:rsidRDefault="007715D2" w:rsidP="00673864">
      <w:pPr>
        <w:ind w:firstLine="0"/>
        <w:rPr>
          <w:rFonts w:ascii="Calibri" w:eastAsia="Times New Roman" w:hAnsi="Calibri" w:cs="Calibri"/>
          <w:sz w:val="24"/>
          <w:szCs w:val="24"/>
          <w:lang w:val="en-US" w:eastAsia="ru-RU"/>
        </w:rPr>
      </w:pPr>
    </w:p>
    <w:p w14:paraId="2BD7634E" w14:textId="41ACD2B5" w:rsidR="003D6E94" w:rsidRPr="007715D2" w:rsidRDefault="007715D2" w:rsidP="007715D2">
      <w:pPr>
        <w:ind w:firstLine="0"/>
        <w:jc w:val="center"/>
        <w:rPr>
          <w:rFonts w:ascii="Calibri" w:hAnsi="Calibri" w:cs="Calibri"/>
          <w:sz w:val="22"/>
        </w:rPr>
      </w:pPr>
      <w:r w:rsidRPr="007715D2">
        <w:rPr>
          <w:rFonts w:ascii="Calibri" w:hAnsi="Calibri" w:cs="Calibri"/>
          <w:b/>
          <w:sz w:val="22"/>
        </w:rPr>
        <w:t>Table 6</w:t>
      </w:r>
      <w:r w:rsidRPr="007715D2">
        <w:rPr>
          <w:rFonts w:ascii="Calibri" w:hAnsi="Calibri" w:cs="Calibri"/>
          <w:b/>
          <w:sz w:val="22"/>
          <w:lang w:val="en-US"/>
        </w:rPr>
        <w:t>:</w:t>
      </w:r>
      <w:r w:rsidR="00C72694" w:rsidRPr="007715D2">
        <w:rPr>
          <w:rFonts w:ascii="Calibri" w:hAnsi="Calibri" w:cs="Calibri"/>
          <w:sz w:val="22"/>
        </w:rPr>
        <w:t xml:space="preserve"> Most productive institutions by H-Index&gt;4</w:t>
      </w:r>
      <w:r w:rsidR="00946DF2" w:rsidRPr="007715D2">
        <w:rPr>
          <w:rFonts w:ascii="Calibri" w:hAnsi="Calibri" w:cs="Calibri"/>
          <w:sz w:val="22"/>
        </w:rPr>
        <w:t>.</w:t>
      </w:r>
    </w:p>
    <w:tbl>
      <w:tblPr>
        <w:tblW w:w="5000" w:type="pct"/>
        <w:jc w:val="center"/>
        <w:tblBorders>
          <w:top w:val="single" w:sz="4" w:space="0" w:color="auto"/>
          <w:bottom w:val="single" w:sz="4" w:space="0" w:color="auto"/>
        </w:tblBorders>
        <w:tblLook w:val="04A0" w:firstRow="1" w:lastRow="0" w:firstColumn="1" w:lastColumn="0" w:noHBand="0" w:noVBand="1"/>
      </w:tblPr>
      <w:tblGrid>
        <w:gridCol w:w="2498"/>
        <w:gridCol w:w="1179"/>
        <w:gridCol w:w="480"/>
        <w:gridCol w:w="690"/>
        <w:gridCol w:w="690"/>
        <w:gridCol w:w="688"/>
        <w:gridCol w:w="785"/>
        <w:gridCol w:w="785"/>
        <w:gridCol w:w="692"/>
        <w:gridCol w:w="692"/>
        <w:gridCol w:w="785"/>
      </w:tblGrid>
      <w:tr w:rsidR="00C069B7" w:rsidRPr="00673864" w14:paraId="2448E8D2" w14:textId="77777777">
        <w:trPr>
          <w:jc w:val="center"/>
        </w:trPr>
        <w:tc>
          <w:tcPr>
            <w:tcW w:w="1254" w:type="pct"/>
            <w:tcBorders>
              <w:top w:val="single" w:sz="4" w:space="0" w:color="000000"/>
              <w:left w:val="single" w:sz="4" w:space="0" w:color="000000"/>
              <w:bottom w:val="single" w:sz="4" w:space="0" w:color="000000"/>
              <w:right w:val="single" w:sz="4" w:space="0" w:color="000000"/>
              <w:tl2br w:val="nil"/>
            </w:tcBorders>
            <w:shd w:val="clear" w:color="auto" w:fill="FFFFFF"/>
          </w:tcPr>
          <w:p w14:paraId="01096D19" w14:textId="77777777" w:rsidR="003D6E94" w:rsidRPr="00673864" w:rsidRDefault="00C72694" w:rsidP="00673864">
            <w:pPr>
              <w:ind w:firstLine="0"/>
              <w:rPr>
                <w:rFonts w:ascii="Calibri" w:eastAsia="Times New Roman" w:hAnsi="Calibri" w:cs="Calibri"/>
                <w:sz w:val="24"/>
                <w:szCs w:val="24"/>
                <w:lang w:val="en-US"/>
              </w:rPr>
            </w:pPr>
            <w:r w:rsidRPr="00673864">
              <w:rPr>
                <w:rFonts w:ascii="Calibri" w:eastAsia="Times New Roman" w:hAnsi="Calibri" w:cs="Calibri"/>
                <w:sz w:val="24"/>
                <w:szCs w:val="24"/>
                <w:lang w:val="en-US" w:eastAsia="ru-RU"/>
              </w:rPr>
              <w:t>Affiliation</w:t>
            </w:r>
          </w:p>
        </w:tc>
        <w:tc>
          <w:tcPr>
            <w:tcW w:w="592" w:type="pct"/>
            <w:tcBorders>
              <w:top w:val="single" w:sz="4" w:space="0" w:color="000000"/>
              <w:left w:val="single" w:sz="4" w:space="0" w:color="000000"/>
              <w:bottom w:val="single" w:sz="4" w:space="0" w:color="000000"/>
              <w:right w:val="single" w:sz="4" w:space="0" w:color="000000"/>
            </w:tcBorders>
            <w:shd w:val="clear" w:color="auto" w:fill="FFFFFF"/>
          </w:tcPr>
          <w:p w14:paraId="61AB0FA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Country</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85578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TP</w:t>
            </w:r>
          </w:p>
        </w:tc>
        <w:tc>
          <w:tcPr>
            <w:tcW w:w="346" w:type="pct"/>
            <w:tcBorders>
              <w:top w:val="single" w:sz="4" w:space="0" w:color="000000"/>
              <w:left w:val="single" w:sz="4" w:space="0" w:color="000000"/>
              <w:bottom w:val="single" w:sz="4" w:space="0" w:color="000000"/>
              <w:right w:val="single" w:sz="4" w:space="0" w:color="000000"/>
            </w:tcBorders>
            <w:shd w:val="clear" w:color="auto" w:fill="FFFFFF"/>
          </w:tcPr>
          <w:p w14:paraId="687AFE9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NCA</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8634D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NCP</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A5B5E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TC</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3F652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C/P</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18A95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C/CP</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263BF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h</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D72AC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g</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0E90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m</w:t>
            </w:r>
          </w:p>
        </w:tc>
      </w:tr>
      <w:tr w:rsidR="00C069B7" w:rsidRPr="00673864" w14:paraId="2A94E893"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C187F2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Purdue University</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D2E43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United States</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8A052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F43D5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42</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E16DA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12</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339352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593</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B7FE1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39.53</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9AAC2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49.42</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CBA6D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0CD63C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27A582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1.667</w:t>
            </w:r>
          </w:p>
        </w:tc>
      </w:tr>
      <w:tr w:rsidR="00C069B7" w:rsidRPr="00673864" w14:paraId="7F0A85A4"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DAB146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University of Kansas</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3AFC2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United States</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CE82F3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19</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2695DE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47</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4339F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11449B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314</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5C17A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16.53</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203D0A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18.47</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768B45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6DA67D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3CF33F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0.526</w:t>
            </w:r>
          </w:p>
        </w:tc>
      </w:tr>
      <w:tr w:rsidR="00C069B7" w:rsidRPr="00673864" w14:paraId="5B0E411B"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1B5D3C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KU Leuven</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78A1BA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Belgium</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854F0B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7</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DA3D57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41953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7</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064E6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232</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8FA7CB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33.14</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8F544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33.14</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1A0A21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777A6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7</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A00C8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0.500</w:t>
            </w:r>
          </w:p>
        </w:tc>
      </w:tr>
      <w:tr w:rsidR="00C069B7" w:rsidRPr="00673864" w14:paraId="14233B18"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CE4986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Curtin University</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8B6867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Australia</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D51A38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FFA53B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24</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6A9B1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7</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CD057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108</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156A77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13.50</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62DA1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15.43</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55932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FBF1A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715DA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0.500</w:t>
            </w:r>
          </w:p>
        </w:tc>
      </w:tr>
      <w:tr w:rsidR="00C069B7" w:rsidRPr="00673864" w14:paraId="48884A0E"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69ED69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University of Bergen</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69C4F8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Norway</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A2D51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D69DC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70299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F7A22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254</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A13888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28.22</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699A4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31.75</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04F892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64D795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534756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0.750</w:t>
            </w:r>
          </w:p>
        </w:tc>
      </w:tr>
      <w:tr w:rsidR="00C069B7" w:rsidRPr="00673864" w14:paraId="1BA04668"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8DD4E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Universiti Utara Malaysia</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F2E59C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Malaysia</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36B3F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DA28C4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20</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FED5F0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648A4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91</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1AB39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11.38</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689F3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11.38</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3B0E86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CFC48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B443F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1.000</w:t>
            </w:r>
          </w:p>
        </w:tc>
      </w:tr>
      <w:tr w:rsidR="00C069B7" w:rsidRPr="00673864" w14:paraId="4D01FE38"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EB9B7E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Portland State University</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5D20F7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United States</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6A8E2C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11119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18</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DC75C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9FBF7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169</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881267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28.17</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DACEB0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28.17</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C1894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BBDD1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61E21C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0.217</w:t>
            </w:r>
          </w:p>
        </w:tc>
      </w:tr>
      <w:tr w:rsidR="00C069B7" w:rsidRPr="00673864" w14:paraId="60D5FE8B"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82960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University of Hong Kong</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C1F1F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China</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76C7AC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AE18C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CF95BE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470C4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301</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1ADC59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60.20</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8249F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60.20</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5C31D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AF1E0D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4BBE7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0.500</w:t>
            </w:r>
          </w:p>
        </w:tc>
      </w:tr>
      <w:tr w:rsidR="00C069B7" w:rsidRPr="00673864" w14:paraId="5EFE6739"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93004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University of Toronto</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7D645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Canada</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B7FA70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B37018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18</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842269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CCEDEB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86</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7441D3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9.56</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B21293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9.56</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237B85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A8B24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8CB6C1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0.313</w:t>
            </w:r>
          </w:p>
        </w:tc>
      </w:tr>
      <w:tr w:rsidR="00C069B7" w:rsidRPr="00673864" w14:paraId="223D8AFD" w14:textId="77777777">
        <w:trPr>
          <w:jc w:val="center"/>
        </w:trPr>
        <w:tc>
          <w:tcPr>
            <w:tcW w:w="12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CAF0B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The Education University of Hong Kong</w:t>
            </w:r>
          </w:p>
        </w:tc>
        <w:tc>
          <w:tcPr>
            <w:tcW w:w="592"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82663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China</w:t>
            </w:r>
          </w:p>
        </w:tc>
        <w:tc>
          <w:tcPr>
            <w:tcW w:w="241"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9991B5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BB732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14</w:t>
            </w:r>
          </w:p>
        </w:tc>
        <w:tc>
          <w:tcPr>
            <w:tcW w:w="346"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F3DC48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45"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FA9910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85</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72E123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14.17</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7E6D5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14.17</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34E7B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w:t>
            </w:r>
          </w:p>
        </w:tc>
        <w:tc>
          <w:tcPr>
            <w:tcW w:w="347"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6AA13F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w:t>
            </w:r>
          </w:p>
        </w:tc>
        <w:tc>
          <w:tcPr>
            <w:tcW w:w="39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CC1B3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0.625</w:t>
            </w:r>
          </w:p>
        </w:tc>
      </w:tr>
    </w:tbl>
    <w:p w14:paraId="2EC779F5" w14:textId="77777777" w:rsidR="007715D2" w:rsidRPr="00480A4C" w:rsidRDefault="00C72694" w:rsidP="00673864">
      <w:pPr>
        <w:ind w:firstLine="0"/>
        <w:rPr>
          <w:rFonts w:ascii="Calibri" w:eastAsia="Times New Roman" w:hAnsi="Calibri" w:cs="Calibri"/>
          <w:sz w:val="16"/>
          <w:szCs w:val="16"/>
          <w:lang w:val="en-GB" w:eastAsia="ru-RU"/>
        </w:rPr>
      </w:pPr>
      <w:r w:rsidRPr="00480A4C">
        <w:rPr>
          <w:rFonts w:ascii="Calibri" w:eastAsia="Times New Roman" w:hAnsi="Calibri" w:cs="Calibri"/>
          <w:sz w:val="16"/>
          <w:szCs w:val="16"/>
          <w:lang w:val="en-GB" w:eastAsia="ru-RU"/>
        </w:rPr>
        <w:t>Notes: TP=total number of publications; NCA=number of contributing authors; NCP=number of cited publications; TC=total citations; C/P=average citations per publication; C/CP=average citations per cited publication; h=h-index; g=g-index; and m=m-index.</w:t>
      </w:r>
    </w:p>
    <w:p w14:paraId="1AFAD53F" w14:textId="77777777" w:rsidR="007715D2" w:rsidRDefault="007715D2" w:rsidP="00673864">
      <w:pPr>
        <w:ind w:firstLine="0"/>
        <w:rPr>
          <w:rFonts w:ascii="Calibri" w:eastAsia="Times New Roman" w:hAnsi="Calibri" w:cs="Calibri"/>
          <w:sz w:val="24"/>
          <w:szCs w:val="24"/>
          <w:lang w:val="en-GB" w:eastAsia="ru-RU"/>
        </w:rPr>
      </w:pPr>
    </w:p>
    <w:p w14:paraId="66EA39F6" w14:textId="359E74FD" w:rsidR="003D6E94" w:rsidRPr="007D1B9F" w:rsidRDefault="00C72694" w:rsidP="00673864">
      <w:pPr>
        <w:ind w:firstLine="0"/>
        <w:rPr>
          <w:rFonts w:ascii="Calibri" w:hAnsi="Calibri" w:cs="Calibri"/>
          <w:bCs/>
          <w:iCs/>
          <w:sz w:val="24"/>
          <w:szCs w:val="24"/>
          <w:lang w:val="en-US"/>
        </w:rPr>
      </w:pPr>
      <w:r w:rsidRPr="007D1B9F">
        <w:rPr>
          <w:rFonts w:ascii="Calibri" w:hAnsi="Calibri" w:cs="Calibri"/>
          <w:bCs/>
          <w:iCs/>
          <w:sz w:val="24"/>
          <w:szCs w:val="24"/>
          <w:lang w:val="en-US"/>
        </w:rPr>
        <w:t>Publications by Countries</w:t>
      </w:r>
    </w:p>
    <w:p w14:paraId="42BE7F9D" w14:textId="26B36D06"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Figure 3 maps the global contributions to SDT research in HE, while Table 7 ranks the most influential countries by h-index. The United States, China, and the United Kingdom are represented by darker shading in Figure 3, indicating their higher publication output. The United States leads with 231 publications, 4,383 citations, and an h-index of 36. China follows with 80 publications, 1,019 citations, and an h-index of 16, while the United Kingdom produced 55 publications and also recorded an h-index of 16. Australia, Canada, Germany, Malaysia, Belgium, and Spain also contributed substantially to the field. Collectively, Table 7 and Figure 3 document the international distribution of SDT-related higher education research and the differing levels of productivity and citation visibility across countries.</w:t>
      </w:r>
    </w:p>
    <w:p w14:paraId="4C6A4949" w14:textId="77777777" w:rsidR="007D1B9F" w:rsidRPr="00673864" w:rsidRDefault="007D1B9F" w:rsidP="00673864">
      <w:pPr>
        <w:ind w:firstLine="0"/>
        <w:rPr>
          <w:rFonts w:ascii="Calibri" w:eastAsia="Times New Roman" w:hAnsi="Calibri" w:cs="Calibri"/>
          <w:sz w:val="24"/>
          <w:szCs w:val="24"/>
          <w:lang w:val="en-US" w:eastAsia="ru-RU"/>
        </w:rPr>
      </w:pPr>
    </w:p>
    <w:p w14:paraId="092DDD8A" w14:textId="6C900847" w:rsidR="003D6E94" w:rsidRPr="007D1B9F" w:rsidRDefault="007D1B9F" w:rsidP="007D1B9F">
      <w:pPr>
        <w:ind w:firstLine="0"/>
        <w:jc w:val="center"/>
        <w:rPr>
          <w:rFonts w:ascii="Calibri" w:hAnsi="Calibri" w:cs="Calibri"/>
          <w:sz w:val="22"/>
        </w:rPr>
      </w:pPr>
      <w:r>
        <w:rPr>
          <w:rFonts w:ascii="Calibri" w:hAnsi="Calibri" w:cs="Calibri"/>
          <w:b/>
          <w:sz w:val="22"/>
        </w:rPr>
        <w:t>Table 7</w:t>
      </w:r>
      <w:r w:rsidRPr="007D1B9F">
        <w:rPr>
          <w:rFonts w:ascii="Calibri" w:hAnsi="Calibri" w:cs="Calibri"/>
          <w:b/>
          <w:sz w:val="22"/>
          <w:lang w:val="en-US"/>
        </w:rPr>
        <w:t>:</w:t>
      </w:r>
      <w:r w:rsidR="00C72694" w:rsidRPr="007D1B9F">
        <w:rPr>
          <w:rFonts w:ascii="Calibri" w:hAnsi="Calibri" w:cs="Calibri"/>
          <w:sz w:val="22"/>
        </w:rPr>
        <w:t xml:space="preserve"> Most influential Countries by H-Index&gt;9</w:t>
      </w:r>
      <w:r w:rsidR="00946DF2" w:rsidRPr="007D1B9F">
        <w:rPr>
          <w:rFonts w:ascii="Calibri" w:hAnsi="Calibri" w:cs="Calibri"/>
          <w:sz w:val="22"/>
        </w:rPr>
        <w:t>.</w:t>
      </w:r>
    </w:p>
    <w:tbl>
      <w:tblPr>
        <w:tblW w:w="5000" w:type="pct"/>
        <w:jc w:val="center"/>
        <w:tblBorders>
          <w:top w:val="single" w:sz="4" w:space="0" w:color="auto"/>
          <w:bottom w:val="single" w:sz="4" w:space="0" w:color="auto"/>
        </w:tblBorders>
        <w:tblLook w:val="04A0" w:firstRow="1" w:lastRow="0" w:firstColumn="1" w:lastColumn="0" w:noHBand="0" w:noVBand="1"/>
      </w:tblPr>
      <w:tblGrid>
        <w:gridCol w:w="1829"/>
        <w:gridCol w:w="905"/>
        <w:gridCol w:w="905"/>
        <w:gridCol w:w="905"/>
        <w:gridCol w:w="905"/>
        <w:gridCol w:w="905"/>
        <w:gridCol w:w="905"/>
        <w:gridCol w:w="905"/>
        <w:gridCol w:w="903"/>
        <w:gridCol w:w="897"/>
      </w:tblGrid>
      <w:tr w:rsidR="00C069B7" w:rsidRPr="00673864" w14:paraId="04FB387C" w14:textId="77777777">
        <w:trPr>
          <w:tblHeader/>
          <w:jc w:val="center"/>
        </w:trPr>
        <w:tc>
          <w:tcPr>
            <w:tcW w:w="918" w:type="pct"/>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3F98BED7" w14:textId="77777777" w:rsidR="003D6E94" w:rsidRPr="00673864" w:rsidRDefault="00C72694" w:rsidP="00673864">
            <w:pPr>
              <w:ind w:firstLine="0"/>
              <w:rPr>
                <w:rFonts w:ascii="Calibri" w:eastAsia="Times New Roman" w:hAnsi="Calibri" w:cs="Calibri"/>
                <w:sz w:val="24"/>
                <w:szCs w:val="24"/>
                <w:lang w:val="en-US"/>
              </w:rPr>
            </w:pPr>
            <w:r w:rsidRPr="00673864">
              <w:rPr>
                <w:rFonts w:ascii="Calibri" w:eastAsia="Times New Roman" w:hAnsi="Calibri" w:cs="Calibri"/>
                <w:sz w:val="24"/>
                <w:szCs w:val="24"/>
                <w:lang w:val="en-US" w:eastAsia="ru-RU"/>
              </w:rPr>
              <w:t>Country</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DE116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TP</w:t>
            </w:r>
          </w:p>
        </w:tc>
        <w:tc>
          <w:tcPr>
            <w:tcW w:w="454" w:type="pct"/>
            <w:tcBorders>
              <w:top w:val="single" w:sz="4" w:space="0" w:color="000000"/>
              <w:left w:val="single" w:sz="4" w:space="0" w:color="000000"/>
              <w:bottom w:val="single" w:sz="4" w:space="0" w:color="000000"/>
              <w:right w:val="single" w:sz="4" w:space="0" w:color="000000"/>
            </w:tcBorders>
            <w:shd w:val="clear" w:color="auto" w:fill="FFFFFF"/>
          </w:tcPr>
          <w:p w14:paraId="1F4F5BD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NCA</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83076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NCP</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BF81B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TC</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DF082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C/P</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491B2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C/CP</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A4B17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h</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380DF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g</w:t>
            </w:r>
          </w:p>
        </w:tc>
        <w:tc>
          <w:tcPr>
            <w:tcW w:w="450" w:type="pct"/>
            <w:tcBorders>
              <w:top w:val="single" w:sz="4" w:space="0" w:color="000000"/>
              <w:left w:val="single" w:sz="4" w:space="0" w:color="000000"/>
              <w:bottom w:val="single" w:sz="4" w:space="0" w:color="000000"/>
              <w:right w:val="single" w:sz="4" w:space="0" w:color="000000"/>
            </w:tcBorders>
            <w:shd w:val="clear" w:color="auto" w:fill="FFFFFF"/>
          </w:tcPr>
          <w:p w14:paraId="387BEB3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m</w:t>
            </w:r>
          </w:p>
        </w:tc>
      </w:tr>
      <w:tr w:rsidR="00C069B7" w:rsidRPr="00673864" w14:paraId="2C799CA1"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B2939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United States</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D3BCB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231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FBF4F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687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6F2DB2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190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CDBB5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4383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898A21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18.97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9024A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23.07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DAE6A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36</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CF28D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66</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5DFB2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0.783</w:t>
            </w:r>
          </w:p>
        </w:tc>
      </w:tr>
      <w:tr w:rsidR="00C069B7" w:rsidRPr="00673864" w14:paraId="6944813B"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07A979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China</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156FA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69AC5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207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806634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60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81C29A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1019</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B77041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12.74</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E411E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16.98</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B8FFCA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DC407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31</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5A154F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0.941</w:t>
            </w:r>
          </w:p>
        </w:tc>
      </w:tr>
      <w:tr w:rsidR="00C069B7" w:rsidRPr="00673864" w14:paraId="797DF2EB"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1EB2E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United Kingdom</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8C285D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55</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96345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63E61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80034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939</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0AE10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17.07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368D8B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22.36</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4DA26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16</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55CAB7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2B418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0.615</w:t>
            </w:r>
          </w:p>
        </w:tc>
      </w:tr>
      <w:tr w:rsidR="00C069B7" w:rsidRPr="00673864" w14:paraId="02374507"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FDD0C8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Australia</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E361A9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CA5F4D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5AE662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91805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975</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EF48C5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17.11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6B8316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22.67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4B3F4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8C7C6B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31</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31E087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0.652</w:t>
            </w:r>
          </w:p>
        </w:tc>
      </w:tr>
      <w:tr w:rsidR="00C069B7" w:rsidRPr="00673864" w14:paraId="1CC24A5F"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D5FCCD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Canada</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4185BB"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FB447E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110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23825A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F08D68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506</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1BAE1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12.34</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F3BF5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15.33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01466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F69B6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22</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1B3E0C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0.500</w:t>
            </w:r>
          </w:p>
        </w:tc>
      </w:tr>
      <w:tr w:rsidR="00C069B7" w:rsidRPr="00673864" w14:paraId="73A2E51F"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ABD48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Germany</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05643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39</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CE145C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93FA46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9423F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866</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333CAC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22.21</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F772F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28.87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0311F4"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D4806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29</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74EC33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0.722</w:t>
            </w:r>
          </w:p>
        </w:tc>
      </w:tr>
      <w:tr w:rsidR="00C069B7" w:rsidRPr="00673864" w14:paraId="1D0D4898"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B3CCA8D"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Malaysia</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33597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AFC06B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99</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9993D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BC942E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303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3192AD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8.19</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78CF1B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9.47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521C62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12</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BBAD93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17</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2C3580"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0.800</w:t>
            </w:r>
          </w:p>
        </w:tc>
      </w:tr>
      <w:tr w:rsidR="00C069B7" w:rsidRPr="00673864" w14:paraId="6A6C113D"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1A6A19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Belgium</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913A4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75804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CC6C608"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0A8217C"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528</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196032"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40.62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8C495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40.62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E5524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938F2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13</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4E759C7"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0.833</w:t>
            </w:r>
          </w:p>
        </w:tc>
      </w:tr>
      <w:tr w:rsidR="00C069B7" w:rsidRPr="00673864" w14:paraId="07D6D4CF" w14:textId="77777777">
        <w:trPr>
          <w:jc w:val="center"/>
        </w:trPr>
        <w:tc>
          <w:tcPr>
            <w:tcW w:w="9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DE4B5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Spain</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FE38CE"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35</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D600A3"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102</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E36A31"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27</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6DD91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414</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F2EABA9"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11.83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C7C5DEA"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15.33</w:t>
            </w:r>
          </w:p>
        </w:tc>
        <w:tc>
          <w:tcPr>
            <w:tcW w:w="45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A2BCD05"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10</w:t>
            </w:r>
          </w:p>
        </w:tc>
        <w:tc>
          <w:tcPr>
            <w:tcW w:w="45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65321F"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20</w:t>
            </w:r>
          </w:p>
        </w:tc>
        <w:tc>
          <w:tcPr>
            <w:tcW w:w="4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40D276" w14:textId="77777777"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0.714</w:t>
            </w:r>
          </w:p>
        </w:tc>
      </w:tr>
    </w:tbl>
    <w:p w14:paraId="57AEB7CE" w14:textId="38FC0889" w:rsidR="003D6E94" w:rsidRPr="007D1B9F" w:rsidRDefault="00C72694" w:rsidP="00673864">
      <w:pPr>
        <w:ind w:firstLine="0"/>
        <w:rPr>
          <w:rFonts w:ascii="Calibri" w:eastAsia="Times New Roman" w:hAnsi="Calibri" w:cs="Calibri"/>
          <w:sz w:val="16"/>
          <w:szCs w:val="16"/>
          <w:lang w:val="en-GB" w:eastAsia="ru-RU"/>
        </w:rPr>
      </w:pPr>
      <w:r w:rsidRPr="007D1B9F">
        <w:rPr>
          <w:rFonts w:ascii="Calibri" w:eastAsia="Times New Roman" w:hAnsi="Calibri" w:cs="Calibri"/>
          <w:sz w:val="16"/>
          <w:szCs w:val="16"/>
          <w:lang w:val="en-GB" w:eastAsia="ru-RU"/>
        </w:rPr>
        <w:t>Notes: TP=total number of publications; NCA=number of contributing authors; NCP=number of cited publications; TC=total citations; C/P=average citations per publication; C/CP=average citations per cited publication; h=h-index; g=g-index.</w:t>
      </w:r>
    </w:p>
    <w:p w14:paraId="37E049C2" w14:textId="327A7716" w:rsidR="007D1B9F" w:rsidRDefault="007D1B9F" w:rsidP="00673864">
      <w:pPr>
        <w:ind w:firstLine="0"/>
        <w:rPr>
          <w:rFonts w:ascii="Calibri" w:eastAsia="Times New Roman" w:hAnsi="Calibri" w:cs="Calibri"/>
          <w:sz w:val="24"/>
          <w:szCs w:val="24"/>
          <w:lang w:val="en-GB" w:eastAsia="ru-RU"/>
        </w:rPr>
      </w:pPr>
    </w:p>
    <w:p w14:paraId="792F43F3" w14:textId="77777777" w:rsidR="003D6E94" w:rsidRPr="00673864" w:rsidRDefault="00C72694" w:rsidP="007D1B9F">
      <w:pPr>
        <w:ind w:firstLine="0"/>
        <w:jc w:val="center"/>
        <w:rPr>
          <w:rFonts w:ascii="Calibri" w:eastAsia="Times New Roman" w:hAnsi="Calibri" w:cs="Calibri"/>
          <w:b/>
          <w:sz w:val="24"/>
          <w:szCs w:val="24"/>
          <w:lang w:val="en-US" w:eastAsia="ru-RU"/>
        </w:rPr>
      </w:pPr>
      <w:r w:rsidRPr="00673864">
        <w:rPr>
          <w:rFonts w:ascii="Calibri" w:eastAsia="Times New Roman" w:hAnsi="Calibri" w:cs="Calibri"/>
          <w:b/>
          <w:noProof/>
          <w:sz w:val="24"/>
          <w:szCs w:val="24"/>
          <w:lang w:val="en-US"/>
        </w:rPr>
        <w:drawing>
          <wp:inline distT="0" distB="0" distL="0" distR="0" wp14:anchorId="7D643097" wp14:editId="07A9121C">
            <wp:extent cx="4805045" cy="2731135"/>
            <wp:effectExtent l="0" t="0" r="20955" b="12065"/>
            <wp:docPr id="1390348987" name="图片 30"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48987" name="图片 30" descr="地图&#10;&#10;描述已自动生成"/>
                    <pic:cNvPicPr>
                      <a:picLocks noChangeAspect="1"/>
                    </pic:cNvPicPr>
                  </pic:nvPicPr>
                  <pic:blipFill>
                    <a:blip r:embed="rId11" cstate="print">
                      <a:extLst>
                        <a:ext uri="{28A0092B-C50C-407E-A947-70E740481C1C}">
                          <a14:useLocalDpi xmlns:a14="http://schemas.microsoft.com/office/drawing/2010/main" val="0"/>
                        </a:ext>
                      </a:extLst>
                    </a:blip>
                    <a:srcRect t="11118" b="15049"/>
                    <a:stretch>
                      <a:fillRect/>
                    </a:stretch>
                  </pic:blipFill>
                  <pic:spPr>
                    <a:xfrm>
                      <a:off x="0" y="0"/>
                      <a:ext cx="4844690" cy="2754046"/>
                    </a:xfrm>
                    <a:prstGeom prst="rect">
                      <a:avLst/>
                    </a:prstGeom>
                    <a:ln>
                      <a:noFill/>
                    </a:ln>
                  </pic:spPr>
                </pic:pic>
              </a:graphicData>
            </a:graphic>
          </wp:inline>
        </w:drawing>
      </w:r>
    </w:p>
    <w:p w14:paraId="7B2F2DED" w14:textId="11B9A662" w:rsidR="00AF6CBA" w:rsidRPr="00673864" w:rsidRDefault="00AF6CBA" w:rsidP="007D1B9F">
      <w:pPr>
        <w:ind w:firstLine="0"/>
        <w:jc w:val="center"/>
        <w:rPr>
          <w:rFonts w:ascii="Calibri" w:hAnsi="Calibri" w:cs="Calibri"/>
          <w:sz w:val="24"/>
          <w:szCs w:val="24"/>
        </w:rPr>
      </w:pPr>
      <w:r w:rsidRPr="007D1B9F">
        <w:rPr>
          <w:rFonts w:ascii="Calibri" w:hAnsi="Calibri" w:cs="Calibri"/>
          <w:b/>
          <w:sz w:val="24"/>
          <w:szCs w:val="24"/>
        </w:rPr>
        <w:t>Figure 3</w:t>
      </w:r>
      <w:r w:rsidR="007D1B9F" w:rsidRPr="007D1B9F">
        <w:rPr>
          <w:rFonts w:ascii="Calibri" w:hAnsi="Calibri" w:cs="Calibri"/>
          <w:b/>
          <w:sz w:val="24"/>
          <w:szCs w:val="24"/>
          <w:lang w:val="en-US"/>
        </w:rPr>
        <w:t>:</w:t>
      </w:r>
      <w:r w:rsidRPr="00673864">
        <w:rPr>
          <w:rFonts w:ascii="Calibri" w:hAnsi="Calibri" w:cs="Calibri"/>
          <w:sz w:val="24"/>
          <w:szCs w:val="24"/>
        </w:rPr>
        <w:t xml:space="preserve"> Scopus-indexed global social science results on self-determination theory in higher education.</w:t>
      </w:r>
    </w:p>
    <w:p w14:paraId="254EB040" w14:textId="77777777" w:rsidR="003D6E94" w:rsidRPr="007D1B9F" w:rsidRDefault="00C72694" w:rsidP="007D1B9F">
      <w:pPr>
        <w:ind w:firstLine="0"/>
        <w:jc w:val="center"/>
        <w:rPr>
          <w:rFonts w:ascii="Calibri" w:eastAsia="Times New Roman" w:hAnsi="Calibri" w:cs="Calibri"/>
          <w:sz w:val="18"/>
          <w:szCs w:val="18"/>
          <w:lang w:val="en-US" w:eastAsia="ru-RU"/>
        </w:rPr>
      </w:pPr>
      <w:r w:rsidRPr="007D1B9F">
        <w:rPr>
          <w:rFonts w:ascii="Calibri" w:eastAsia="Times New Roman" w:hAnsi="Calibri" w:cs="Calibri"/>
          <w:b/>
          <w:sz w:val="18"/>
          <w:szCs w:val="18"/>
          <w:lang w:val="en-US" w:eastAsia="ru-RU"/>
        </w:rPr>
        <w:t>Source:</w:t>
      </w:r>
      <w:r w:rsidRPr="007D1B9F">
        <w:rPr>
          <w:rFonts w:ascii="Calibri" w:eastAsia="Times New Roman" w:hAnsi="Calibri" w:cs="Calibri"/>
          <w:sz w:val="18"/>
          <w:szCs w:val="18"/>
          <w:lang w:val="en-US" w:eastAsia="ru-RU"/>
        </w:rPr>
        <w:t xml:space="preserve"> Generated by the author(s) using iipmaps.com</w:t>
      </w:r>
    </w:p>
    <w:p w14:paraId="74070277" w14:textId="387C7BA7" w:rsidR="003D6E94" w:rsidRDefault="003D6E94" w:rsidP="00673864">
      <w:pPr>
        <w:ind w:firstLine="0"/>
        <w:rPr>
          <w:rFonts w:ascii="Calibri" w:eastAsia="Times New Roman" w:hAnsi="Calibri" w:cs="Calibri"/>
          <w:sz w:val="24"/>
          <w:szCs w:val="24"/>
          <w:lang w:val="en-US" w:eastAsia="ru-RU"/>
        </w:rPr>
      </w:pPr>
    </w:p>
    <w:p w14:paraId="6E660E11" w14:textId="77777777" w:rsidR="00163CAB" w:rsidRPr="00673864" w:rsidRDefault="00163CAB"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Conceptual structure analysis examines relationships among research concepts and identifies prominent and emerging topics within a knowledge domain (</w:t>
      </w:r>
      <w:r w:rsidRPr="00480A4C">
        <w:rPr>
          <w:rFonts w:ascii="Calibri" w:eastAsia="Times New Roman" w:hAnsi="Calibri" w:cs="Calibri"/>
          <w:sz w:val="24"/>
          <w:szCs w:val="24"/>
          <w:highlight w:val="yellow"/>
          <w:lang w:val="en-US" w:eastAsia="es-ES"/>
        </w:rPr>
        <w:t>Boyack &amp; Klavans, 2014; Aria &amp; Cuccurullo, 2017).</w:t>
      </w:r>
      <w:r w:rsidRPr="00673864">
        <w:rPr>
          <w:rFonts w:ascii="Calibri" w:eastAsia="Times New Roman" w:hAnsi="Calibri" w:cs="Calibri"/>
          <w:sz w:val="24"/>
          <w:szCs w:val="24"/>
          <w:lang w:val="en-US" w:eastAsia="es-ES"/>
        </w:rPr>
        <w:t xml:space="preserve"> Using Biblioshiny, author-keyword thematic evolution and strategic maps were generated to examine the development of research on Self-Determination Theory (SDT) in higher education across three periods: 1979–2018, 2019–2022, and 2023–2024. Figure 4 illustrates thematic continuity, divergence, and convergence, while Figures 5–7 classify keyword clusters into motor, niche, emerging or declining, and basic themes according to centrality and density.</w:t>
      </w:r>
    </w:p>
    <w:p w14:paraId="5C36963D" w14:textId="77777777" w:rsidR="00163CAB" w:rsidRPr="00673864" w:rsidRDefault="00163CAB"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The analysis included 250 keywords, a minimum cluster frequency of 10 per thousand documents, and a word-weighted inclusion index. Thematic maps displayed three labels per cluster, which were manually positioned to improve readability. During 1979–2018, research emphasized policy, neoliberalism, SDT, and academic achievement. Between 2019 and 2022, the thematic structure diversified toward intrinsic motivation, autonomy, professional self-determination, engineering education, digital skills, student satisfaction, and international students. In 2023–2024, research expanded into digitally mediated and inclusive educational contexts, including e-learning, online teaching, flipped classrooms, active learning, learning disabilities, and inclusive education. Overall, the thematic evolution reveals increasing diversification of SDT applications while maintaining continuity in its underlying motivational framework.</w:t>
      </w:r>
    </w:p>
    <w:p w14:paraId="4BB95B69" w14:textId="77777777" w:rsidR="003D6E94" w:rsidRPr="00673864" w:rsidRDefault="00C72694" w:rsidP="007D1B9F">
      <w:pPr>
        <w:ind w:firstLine="0"/>
        <w:jc w:val="center"/>
        <w:rPr>
          <w:rFonts w:ascii="Calibri" w:hAnsi="Calibri" w:cs="Calibri"/>
          <w:sz w:val="24"/>
          <w:szCs w:val="24"/>
          <w:lang w:val="en-US" w:eastAsia="ru-RU"/>
        </w:rPr>
      </w:pPr>
      <w:r w:rsidRPr="00673864">
        <w:rPr>
          <w:rFonts w:ascii="Calibri" w:hAnsi="Calibri" w:cs="Calibri"/>
          <w:noProof/>
          <w:sz w:val="24"/>
          <w:szCs w:val="24"/>
          <w:lang w:val="en-US"/>
        </w:rPr>
        <w:drawing>
          <wp:inline distT="0" distB="0" distL="0" distR="0" wp14:anchorId="7C287C62" wp14:editId="3838AEFE">
            <wp:extent cx="5732145" cy="3195955"/>
            <wp:effectExtent l="0" t="0" r="8255" b="4445"/>
            <wp:docPr id="51602515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025154" name="图片 3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3195955"/>
                    </a:xfrm>
                    <a:prstGeom prst="rect">
                      <a:avLst/>
                    </a:prstGeom>
                  </pic:spPr>
                </pic:pic>
              </a:graphicData>
            </a:graphic>
          </wp:inline>
        </w:drawing>
      </w:r>
    </w:p>
    <w:p w14:paraId="698EDEF2" w14:textId="6C4CCAF2" w:rsidR="00163CAB" w:rsidRDefault="007D1B9F" w:rsidP="007D1B9F">
      <w:pPr>
        <w:ind w:firstLine="0"/>
        <w:jc w:val="center"/>
        <w:rPr>
          <w:rFonts w:ascii="Calibri" w:hAnsi="Calibri" w:cs="Calibri"/>
          <w:sz w:val="22"/>
        </w:rPr>
      </w:pPr>
      <w:r>
        <w:rPr>
          <w:rFonts w:ascii="Calibri" w:hAnsi="Calibri" w:cs="Calibri"/>
          <w:b/>
          <w:sz w:val="22"/>
        </w:rPr>
        <w:t>Figure 4</w:t>
      </w:r>
      <w:r w:rsidRPr="007D1B9F">
        <w:rPr>
          <w:rFonts w:ascii="Calibri" w:hAnsi="Calibri" w:cs="Calibri"/>
          <w:b/>
          <w:sz w:val="22"/>
          <w:lang w:val="en-US"/>
        </w:rPr>
        <w:t>:</w:t>
      </w:r>
      <w:r w:rsidR="00163CAB" w:rsidRPr="007D1B9F">
        <w:rPr>
          <w:rFonts w:ascii="Calibri" w:hAnsi="Calibri" w:cs="Calibri"/>
          <w:sz w:val="22"/>
        </w:rPr>
        <w:t xml:space="preserve"> The thematic evoluti</w:t>
      </w:r>
      <w:r>
        <w:rPr>
          <w:rFonts w:ascii="Calibri" w:hAnsi="Calibri" w:cs="Calibri"/>
          <w:sz w:val="22"/>
        </w:rPr>
        <w:t>on map of the author's keywords</w:t>
      </w:r>
    </w:p>
    <w:p w14:paraId="591285E5" w14:textId="77777777" w:rsidR="007D1B9F" w:rsidRPr="007D1B9F" w:rsidRDefault="007D1B9F" w:rsidP="007D1B9F">
      <w:pPr>
        <w:ind w:firstLine="0"/>
        <w:jc w:val="center"/>
        <w:rPr>
          <w:rFonts w:ascii="Calibri" w:hAnsi="Calibri" w:cs="Calibri"/>
          <w:sz w:val="22"/>
        </w:rPr>
      </w:pPr>
    </w:p>
    <w:p w14:paraId="4036184D" w14:textId="38F0DEFB" w:rsidR="00B813E6" w:rsidRPr="00673864" w:rsidRDefault="00C72694" w:rsidP="00673864">
      <w:pPr>
        <w:pStyle w:val="NormalWeb"/>
        <w:ind w:firstLine="0"/>
        <w:rPr>
          <w:rFonts w:ascii="Calibri" w:eastAsia="Times New Roman" w:hAnsi="Calibri" w:cs="Calibri"/>
          <w:lang w:val="en-US" w:eastAsia="es-ES"/>
        </w:rPr>
      </w:pPr>
      <w:r w:rsidRPr="00673864">
        <w:rPr>
          <w:rFonts w:ascii="Calibri" w:eastAsia="Times New Roman" w:hAnsi="Calibri" w:cs="Calibri"/>
          <w:lang w:val="en-US" w:eastAsia="ru-RU"/>
        </w:rPr>
        <w:t xml:space="preserve">Thematic maps categorize research topics into four quadrants based on centrality and density </w:t>
      </w:r>
      <w:r w:rsidR="00B813E6" w:rsidRPr="00673864">
        <w:rPr>
          <w:rFonts w:ascii="Calibri" w:eastAsia="Times New Roman" w:hAnsi="Calibri" w:cs="Calibri"/>
          <w:lang w:val="en-US" w:eastAsia="es-ES"/>
        </w:rPr>
        <w:t xml:space="preserve">Thematic maps were interpreted following </w:t>
      </w:r>
      <w:r w:rsidR="00480A4C">
        <w:rPr>
          <w:rFonts w:ascii="Calibri" w:eastAsia="Times New Roman" w:hAnsi="Calibri" w:cs="Calibri"/>
          <w:lang w:val="en-US" w:eastAsia="es-ES"/>
        </w:rPr>
        <w:t>(</w:t>
      </w:r>
      <w:r w:rsidR="00B813E6" w:rsidRPr="00984FFB">
        <w:rPr>
          <w:rFonts w:ascii="Calibri" w:eastAsia="Times New Roman" w:hAnsi="Calibri" w:cs="Calibri"/>
          <w:highlight w:val="yellow"/>
          <w:lang w:val="en-US" w:eastAsia="es-ES"/>
        </w:rPr>
        <w:t>Callon et al</w:t>
      </w:r>
      <w:r w:rsidR="00984FFB" w:rsidRPr="00984FFB">
        <w:rPr>
          <w:rFonts w:ascii="Calibri" w:eastAsia="Times New Roman" w:hAnsi="Calibri" w:cs="Calibri"/>
          <w:highlight w:val="yellow"/>
          <w:lang w:val="en-US" w:eastAsia="es-ES"/>
        </w:rPr>
        <w:t xml:space="preserve">., 1991; Cobo et al., </w:t>
      </w:r>
      <w:r w:rsidR="00B813E6" w:rsidRPr="00984FFB">
        <w:rPr>
          <w:rFonts w:ascii="Calibri" w:eastAsia="Times New Roman" w:hAnsi="Calibri" w:cs="Calibri"/>
          <w:highlight w:val="yellow"/>
          <w:lang w:val="en-US" w:eastAsia="es-ES"/>
        </w:rPr>
        <w:t>2011),</w:t>
      </w:r>
      <w:r w:rsidR="00B813E6" w:rsidRPr="00673864">
        <w:rPr>
          <w:rFonts w:ascii="Calibri" w:eastAsia="Times New Roman" w:hAnsi="Calibri" w:cs="Calibri"/>
          <w:lang w:val="en-US" w:eastAsia="es-ES"/>
        </w:rPr>
        <w:t xml:space="preserve"> using centrality to assess connections between themes and density to measure internal cohesion. Circle size represents keyword frequency within each cluster. Four thematic categories were distinguished: motor themes (high centrality and density), niche themes (high density and low centrality), emerging or declining themes (low centrality and density), and basic themes (high centrality and low density)</w:t>
      </w:r>
      <w:r w:rsidR="00C1319E" w:rsidRPr="00673864">
        <w:rPr>
          <w:rFonts w:ascii="Calibri" w:eastAsia="Times New Roman" w:hAnsi="Calibri" w:cs="Calibri"/>
          <w:lang w:val="en-US" w:eastAsia="es-ES"/>
        </w:rPr>
        <w:t>.</w:t>
      </w:r>
    </w:p>
    <w:p w14:paraId="764F2014" w14:textId="77777777" w:rsidR="00B813E6" w:rsidRPr="00673864" w:rsidRDefault="00B813E6"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Figure 5 identifies seven keyword clusters during 1979–2018. "Policy" emerged as the only motor theme, while "self-determination theory" and "academic achievement" occupied the basic-theme quadrant. "Pre-university education" appeared as a niche theme, whereas "first-generation college students" and "neoliberalism" occupied transitional positions near quadrant boundaries. The "system of vocational and educational training" was classified as an emerging or declining theme. Overall, the thematic structure reflected the prominence of educational policy and the comparatively limited consolidation of SDT applications in higher education.</w:t>
      </w:r>
    </w:p>
    <w:p w14:paraId="5F2F7607" w14:textId="77777777" w:rsidR="003D6E94" w:rsidRPr="00673864" w:rsidRDefault="00C72694" w:rsidP="00673864">
      <w:pPr>
        <w:ind w:firstLine="0"/>
        <w:rPr>
          <w:rFonts w:ascii="Calibri" w:hAnsi="Calibri" w:cs="Calibri"/>
          <w:sz w:val="24"/>
          <w:szCs w:val="24"/>
        </w:rPr>
        <w:sectPr w:rsidR="003D6E94" w:rsidRPr="00673864" w:rsidSect="00C069B7">
          <w:type w:val="continuous"/>
          <w:pgSz w:w="12242" w:h="15842"/>
          <w:pgMar w:top="1134" w:right="1134" w:bottom="1134" w:left="1134" w:header="709" w:footer="709" w:gutter="0"/>
          <w:cols w:space="425"/>
          <w:docGrid w:linePitch="360"/>
        </w:sectPr>
      </w:pPr>
      <w:r w:rsidRPr="00673864">
        <w:rPr>
          <w:rFonts w:ascii="Calibri" w:hAnsi="Calibri" w:cs="Calibri"/>
          <w:noProof/>
          <w:sz w:val="24"/>
          <w:szCs w:val="24"/>
          <w:lang w:val="en-US"/>
        </w:rPr>
        <w:drawing>
          <wp:inline distT="0" distB="0" distL="0" distR="0" wp14:anchorId="719E159F" wp14:editId="58B05C50">
            <wp:extent cx="5732145" cy="3587115"/>
            <wp:effectExtent l="0" t="0" r="8255" b="19685"/>
            <wp:docPr id="1521112898"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12898" name="图片 1" descr="图示&#10;&#10;描述已自动生成"/>
                    <pic:cNvPicPr>
                      <a:picLocks noChangeAspect="1"/>
                    </pic:cNvPicPr>
                  </pic:nvPicPr>
                  <pic:blipFill>
                    <a:blip r:embed="rId13"/>
                    <a:stretch>
                      <a:fillRect/>
                    </a:stretch>
                  </pic:blipFill>
                  <pic:spPr>
                    <a:xfrm>
                      <a:off x="0" y="0"/>
                      <a:ext cx="5732145" cy="3587115"/>
                    </a:xfrm>
                    <a:prstGeom prst="rect">
                      <a:avLst/>
                    </a:prstGeom>
                  </pic:spPr>
                </pic:pic>
              </a:graphicData>
            </a:graphic>
          </wp:inline>
        </w:drawing>
      </w:r>
    </w:p>
    <w:p w14:paraId="7DD3B0FF" w14:textId="2EE6EF71" w:rsidR="00B813E6" w:rsidRDefault="007D1B9F" w:rsidP="007D1B9F">
      <w:pPr>
        <w:ind w:firstLine="0"/>
        <w:jc w:val="center"/>
        <w:rPr>
          <w:rFonts w:ascii="Calibri" w:hAnsi="Calibri" w:cs="Calibri"/>
          <w:sz w:val="22"/>
        </w:rPr>
      </w:pPr>
      <w:r>
        <w:rPr>
          <w:rFonts w:ascii="Calibri" w:hAnsi="Calibri" w:cs="Calibri"/>
          <w:b/>
          <w:sz w:val="22"/>
        </w:rPr>
        <w:t>Figure 5</w:t>
      </w:r>
      <w:r w:rsidRPr="0082636F">
        <w:rPr>
          <w:rFonts w:ascii="Calibri" w:hAnsi="Calibri" w:cs="Calibri"/>
          <w:b/>
          <w:sz w:val="22"/>
          <w:lang w:val="en-US"/>
        </w:rPr>
        <w:t>:</w:t>
      </w:r>
      <w:r w:rsidR="00B813E6" w:rsidRPr="007D1B9F">
        <w:rPr>
          <w:rFonts w:ascii="Calibri" w:hAnsi="Calibri" w:cs="Calibri"/>
          <w:sz w:val="22"/>
        </w:rPr>
        <w:t xml:space="preserve"> </w:t>
      </w:r>
      <w:r>
        <w:rPr>
          <w:rFonts w:ascii="Calibri" w:hAnsi="Calibri" w:cs="Calibri"/>
          <w:sz w:val="22"/>
        </w:rPr>
        <w:t>Thematic map (1979–2018)</w:t>
      </w:r>
    </w:p>
    <w:p w14:paraId="6C7C9D03" w14:textId="77777777" w:rsidR="007D1B9F" w:rsidRPr="007D1B9F" w:rsidRDefault="007D1B9F" w:rsidP="007D1B9F">
      <w:pPr>
        <w:ind w:firstLine="0"/>
        <w:jc w:val="center"/>
        <w:rPr>
          <w:rFonts w:ascii="Calibri" w:hAnsi="Calibri" w:cs="Calibri"/>
          <w:sz w:val="22"/>
        </w:rPr>
      </w:pPr>
    </w:p>
    <w:p w14:paraId="51FD9A87" w14:textId="7D4646C2" w:rsidR="00E07743" w:rsidRDefault="00E07743" w:rsidP="00673864">
      <w:pPr>
        <w:ind w:firstLine="0"/>
        <w:rPr>
          <w:rFonts w:ascii="Calibri" w:eastAsia="Times New Roman" w:hAnsi="Calibri" w:cs="Calibri"/>
          <w:sz w:val="24"/>
          <w:szCs w:val="24"/>
          <w:lang w:val="en-US" w:eastAsia="es-ES"/>
        </w:rPr>
      </w:pPr>
      <w:r w:rsidRPr="00673864">
        <w:rPr>
          <w:rFonts w:ascii="Calibri" w:eastAsia="Times New Roman" w:hAnsi="Calibri" w:cs="Calibri"/>
          <w:sz w:val="24"/>
          <w:szCs w:val="24"/>
          <w:lang w:val="en-US" w:eastAsia="es-ES"/>
        </w:rPr>
        <w:t>Figure 6 presents 15 keyword clusters for 2019–2022, reflecting greater thematic diversification. "Intrinsic motivation," "engineering education," and "university" emerged as motor themes, characterized by high centrality and density. "Professional education," "student satisfaction," and "digital skills" appeared as niche themes, while "professional self-determination," "Indigenous/Aboriginal and Torres Strait Islander," and "adolescence" occupied the emerging-or-declining quadrant. "Self-determination theory," "autonomy," "international students," and "transition" remained basic themes, maintaining strong connections within the research network. "Cognition" occupied a transitional position between niche and motor themes. Overall, the findings indicate increasing thematic specialization alongside the continued centrality of SDT-related concepts.</w:t>
      </w:r>
    </w:p>
    <w:p w14:paraId="0C157DD6" w14:textId="77777777" w:rsidR="007D1B9F" w:rsidRPr="00673864" w:rsidRDefault="007D1B9F" w:rsidP="00673864">
      <w:pPr>
        <w:ind w:firstLine="0"/>
        <w:rPr>
          <w:rFonts w:ascii="Calibri" w:eastAsia="Times New Roman" w:hAnsi="Calibri" w:cs="Calibri"/>
          <w:sz w:val="24"/>
          <w:szCs w:val="24"/>
          <w:lang w:val="en-US" w:eastAsia="es-ES"/>
        </w:rPr>
      </w:pPr>
    </w:p>
    <w:p w14:paraId="5B6168AD" w14:textId="77777777" w:rsidR="003D6E94" w:rsidRPr="00673864" w:rsidRDefault="00C72694" w:rsidP="007D1B9F">
      <w:pPr>
        <w:ind w:firstLine="0"/>
        <w:jc w:val="center"/>
        <w:rPr>
          <w:rFonts w:ascii="Calibri" w:eastAsia="Times New Roman" w:hAnsi="Calibri" w:cs="Calibri"/>
          <w:sz w:val="24"/>
          <w:szCs w:val="24"/>
          <w:lang w:val="en-US" w:eastAsia="ru-RU"/>
        </w:rPr>
      </w:pPr>
      <w:r w:rsidRPr="00673864">
        <w:rPr>
          <w:rFonts w:ascii="Calibri" w:hAnsi="Calibri" w:cs="Calibri"/>
          <w:noProof/>
          <w:sz w:val="24"/>
          <w:szCs w:val="24"/>
          <w:lang w:val="en-US"/>
        </w:rPr>
        <w:drawing>
          <wp:inline distT="0" distB="0" distL="0" distR="0" wp14:anchorId="00D2441B" wp14:editId="1D8B6786">
            <wp:extent cx="5732145" cy="3722370"/>
            <wp:effectExtent l="0" t="0" r="8255" b="11430"/>
            <wp:docPr id="490797260"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97260" name="图片 1" descr="图示&#10;&#10;描述已自动生成"/>
                    <pic:cNvPicPr>
                      <a:picLocks noChangeAspect="1"/>
                    </pic:cNvPicPr>
                  </pic:nvPicPr>
                  <pic:blipFill>
                    <a:blip r:embed="rId14"/>
                    <a:stretch>
                      <a:fillRect/>
                    </a:stretch>
                  </pic:blipFill>
                  <pic:spPr>
                    <a:xfrm>
                      <a:off x="0" y="0"/>
                      <a:ext cx="5732145" cy="3722370"/>
                    </a:xfrm>
                    <a:prstGeom prst="rect">
                      <a:avLst/>
                    </a:prstGeom>
                  </pic:spPr>
                </pic:pic>
              </a:graphicData>
            </a:graphic>
          </wp:inline>
        </w:drawing>
      </w:r>
    </w:p>
    <w:p w14:paraId="5CB4BB6D" w14:textId="589B779A" w:rsidR="00E07743" w:rsidRPr="007D1B9F" w:rsidRDefault="007D1B9F" w:rsidP="007D1B9F">
      <w:pPr>
        <w:ind w:firstLine="0"/>
        <w:jc w:val="center"/>
        <w:rPr>
          <w:rFonts w:ascii="Calibri" w:eastAsia="Times New Roman" w:hAnsi="Calibri" w:cs="Calibri"/>
          <w:sz w:val="22"/>
          <w:lang w:val="en-US" w:eastAsia="es-ES"/>
        </w:rPr>
      </w:pPr>
      <w:r>
        <w:rPr>
          <w:rFonts w:ascii="Calibri" w:eastAsia="Times New Roman" w:hAnsi="Calibri" w:cs="Calibri"/>
          <w:b/>
          <w:sz w:val="22"/>
          <w:lang w:val="en-US" w:eastAsia="es-ES"/>
        </w:rPr>
        <w:t>Figure 6:</w:t>
      </w:r>
      <w:r w:rsidR="00E07743" w:rsidRPr="007D1B9F">
        <w:rPr>
          <w:rFonts w:ascii="Calibri" w:eastAsia="Times New Roman" w:hAnsi="Calibri" w:cs="Calibri"/>
          <w:sz w:val="22"/>
          <w:lang w:val="en-US" w:eastAsia="es-ES"/>
        </w:rPr>
        <w:t xml:space="preserve"> Thematic map (2019–2022).</w:t>
      </w:r>
    </w:p>
    <w:p w14:paraId="70E0DB34" w14:textId="77777777" w:rsidR="007D1B9F" w:rsidRDefault="007D1B9F" w:rsidP="00673864">
      <w:pPr>
        <w:ind w:firstLine="0"/>
        <w:rPr>
          <w:rFonts w:ascii="Calibri" w:eastAsia="Times New Roman" w:hAnsi="Calibri" w:cs="Calibri"/>
          <w:sz w:val="24"/>
          <w:szCs w:val="24"/>
          <w:lang w:val="en-US" w:eastAsia="ru-RU"/>
        </w:rPr>
      </w:pPr>
    </w:p>
    <w:p w14:paraId="049C8D44" w14:textId="5F4839DE" w:rsidR="003D6E94" w:rsidRPr="0067386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As illustrated in Figure 7, the 2023–2024 period comprised 32 distinct clusters. The thematic configuration was anchored by motor themes such as inclusive education and expectancy-confirmation theory, which occupied central and internally developed positions. Specific pedagogical and methodological themes, including active learning and mixed method, appeared in the niche or emerging-or-declining quadrants, indicating that these areas were developing but remained comparatively weakly connected with the broader network.</w:t>
      </w:r>
    </w:p>
    <w:p w14:paraId="10E9E639" w14:textId="2F8929E0" w:rsidR="003D6E94" w:rsidRDefault="00C72694" w:rsidP="00673864">
      <w:pPr>
        <w:ind w:firstLine="0"/>
        <w:rPr>
          <w:rFonts w:ascii="Calibri" w:eastAsia="Times New Roman" w:hAnsi="Calibri" w:cs="Calibri"/>
          <w:sz w:val="24"/>
          <w:szCs w:val="24"/>
          <w:lang w:val="en-US" w:eastAsia="ru-RU"/>
        </w:rPr>
      </w:pPr>
      <w:r w:rsidRPr="00673864">
        <w:rPr>
          <w:rFonts w:ascii="Calibri" w:eastAsia="Times New Roman" w:hAnsi="Calibri" w:cs="Calibri"/>
          <w:sz w:val="24"/>
          <w:szCs w:val="24"/>
          <w:lang w:val="en-US" w:eastAsia="ru-RU"/>
        </w:rPr>
        <w:t>Self-determination theory continued to occupy the basic-theme quadrant alongside gender features and inclusion. This recurring position indicates that the SDT cluster retained high centrality in the author-keyword network while displaying lower internal density than the motor themes. E-learning occupied a position towards the motor-theme quadrant, whereas online teaching remained a basic theme. These positions indicate that digitally mediated learning had acquired a visible but structurally differentiated place within the recent thematic configuration</w:t>
      </w:r>
      <w:r w:rsidR="002A2526" w:rsidRPr="00673864">
        <w:rPr>
          <w:rFonts w:ascii="Calibri" w:eastAsia="Times New Roman" w:hAnsi="Calibri" w:cs="Calibri"/>
          <w:sz w:val="24"/>
          <w:szCs w:val="24"/>
          <w:lang w:val="en-US" w:eastAsia="ru-RU"/>
        </w:rPr>
        <w:t>.</w:t>
      </w:r>
    </w:p>
    <w:p w14:paraId="3C183384" w14:textId="077D3130" w:rsidR="007D1B9F" w:rsidRDefault="007D1B9F" w:rsidP="00673864">
      <w:pPr>
        <w:ind w:firstLine="0"/>
        <w:rPr>
          <w:rFonts w:ascii="Calibri" w:eastAsia="Times New Roman" w:hAnsi="Calibri" w:cs="Calibri"/>
          <w:sz w:val="24"/>
          <w:szCs w:val="24"/>
          <w:lang w:val="en-US" w:eastAsia="ru-RU"/>
        </w:rPr>
      </w:pPr>
    </w:p>
    <w:p w14:paraId="28D1FFFD" w14:textId="77777777" w:rsidR="003D6E94" w:rsidRPr="00673864" w:rsidRDefault="00C72694" w:rsidP="007D1B9F">
      <w:pPr>
        <w:ind w:firstLine="0"/>
        <w:jc w:val="center"/>
        <w:rPr>
          <w:rFonts w:ascii="Calibri" w:eastAsia="Times New Roman" w:hAnsi="Calibri" w:cs="Calibri"/>
          <w:sz w:val="24"/>
          <w:szCs w:val="24"/>
          <w:lang w:val="en-US" w:eastAsia="ru-RU"/>
        </w:rPr>
      </w:pPr>
      <w:r w:rsidRPr="00673864">
        <w:rPr>
          <w:rFonts w:ascii="Calibri" w:hAnsi="Calibri" w:cs="Calibri"/>
          <w:noProof/>
          <w:sz w:val="24"/>
          <w:szCs w:val="24"/>
          <w:lang w:val="en-US"/>
        </w:rPr>
        <w:drawing>
          <wp:inline distT="0" distB="0" distL="0" distR="0" wp14:anchorId="080F3D80" wp14:editId="4BB710DB">
            <wp:extent cx="5732145" cy="3515995"/>
            <wp:effectExtent l="0" t="0" r="8255" b="14605"/>
            <wp:docPr id="170305353"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5353" name="图片 1" descr="图示&#10;&#10;描述已自动生成"/>
                    <pic:cNvPicPr>
                      <a:picLocks noChangeAspect="1"/>
                    </pic:cNvPicPr>
                  </pic:nvPicPr>
                  <pic:blipFill>
                    <a:blip r:embed="rId15"/>
                    <a:stretch>
                      <a:fillRect/>
                    </a:stretch>
                  </pic:blipFill>
                  <pic:spPr>
                    <a:xfrm>
                      <a:off x="0" y="0"/>
                      <a:ext cx="5732145" cy="3515995"/>
                    </a:xfrm>
                    <a:prstGeom prst="rect">
                      <a:avLst/>
                    </a:prstGeom>
                    <a:ln>
                      <a:noFill/>
                    </a:ln>
                  </pic:spPr>
                </pic:pic>
              </a:graphicData>
            </a:graphic>
          </wp:inline>
        </w:drawing>
      </w:r>
    </w:p>
    <w:p w14:paraId="53E785C9" w14:textId="66BC055E" w:rsidR="00E07743" w:rsidRPr="007D1B9F" w:rsidRDefault="007D1B9F" w:rsidP="007D1B9F">
      <w:pPr>
        <w:ind w:firstLine="0"/>
        <w:jc w:val="center"/>
        <w:rPr>
          <w:rFonts w:ascii="Calibri" w:hAnsi="Calibri" w:cs="Calibri"/>
          <w:sz w:val="22"/>
        </w:rPr>
      </w:pPr>
      <w:r w:rsidRPr="007D1B9F">
        <w:rPr>
          <w:rFonts w:ascii="Calibri" w:hAnsi="Calibri" w:cs="Calibri"/>
          <w:b/>
          <w:sz w:val="22"/>
        </w:rPr>
        <w:t>Figure 7</w:t>
      </w:r>
      <w:r w:rsidRPr="0082636F">
        <w:rPr>
          <w:rFonts w:ascii="Calibri" w:hAnsi="Calibri" w:cs="Calibri"/>
          <w:b/>
          <w:sz w:val="22"/>
          <w:lang w:val="en-US"/>
        </w:rPr>
        <w:t>:</w:t>
      </w:r>
      <w:r w:rsidR="00E07743" w:rsidRPr="007D1B9F">
        <w:rPr>
          <w:rFonts w:ascii="Calibri" w:hAnsi="Calibri" w:cs="Calibri"/>
          <w:sz w:val="22"/>
        </w:rPr>
        <w:t xml:space="preserve"> Thematic map (2023–2024).</w:t>
      </w:r>
    </w:p>
    <w:p w14:paraId="5CBC24E7" w14:textId="437AC704" w:rsidR="003D6E94" w:rsidRDefault="003D6E94" w:rsidP="00673864">
      <w:pPr>
        <w:ind w:firstLine="0"/>
        <w:rPr>
          <w:rFonts w:ascii="Calibri" w:hAnsi="Calibri" w:cs="Calibri"/>
          <w:bCs/>
          <w:sz w:val="24"/>
          <w:szCs w:val="24"/>
          <w:lang w:val="en-US"/>
        </w:rPr>
      </w:pPr>
    </w:p>
    <w:p w14:paraId="0E4A08B8" w14:textId="0AD97D10" w:rsidR="001465E0" w:rsidRPr="00673864" w:rsidRDefault="001465E0" w:rsidP="00673864">
      <w:pPr>
        <w:pStyle w:val="NormalWeb"/>
        <w:ind w:firstLine="0"/>
        <w:rPr>
          <w:rFonts w:ascii="Calibri" w:hAnsi="Calibri" w:cs="Calibri"/>
          <w:lang w:val="en-US"/>
        </w:rPr>
      </w:pPr>
      <w:r w:rsidRPr="00673864">
        <w:rPr>
          <w:rFonts w:ascii="Calibri" w:hAnsi="Calibri" w:cs="Calibri"/>
        </w:rPr>
        <w:t>Collectively, the thematic maps reveal a transition from policy-oriented research toward more diversified applications involving inclusive education, digital learning, and specialized pedagogical approaches. Self-Determination Theory (SDT) remained a basic theme throughout the three periods, indicating conceptual continuity despite changes in thematic organization. Its persistent centrality, together with intrinsic motivation and autonomy, reinforces its role as a foundational framework for understanding motivation and psychological needs</w:t>
      </w:r>
      <w:r w:rsidR="00A63473" w:rsidRPr="00673864">
        <w:rPr>
          <w:rFonts w:ascii="Calibri" w:hAnsi="Calibri" w:cs="Calibri"/>
          <w:lang w:val="en-US"/>
        </w:rPr>
        <w:t>.</w:t>
      </w:r>
    </w:p>
    <w:p w14:paraId="493D3E21" w14:textId="03558FFF" w:rsidR="001465E0" w:rsidRPr="00673864" w:rsidRDefault="001465E0" w:rsidP="00673864">
      <w:pPr>
        <w:pStyle w:val="NormalWeb"/>
        <w:ind w:firstLine="0"/>
        <w:rPr>
          <w:rFonts w:ascii="Calibri" w:hAnsi="Calibri" w:cs="Calibri"/>
        </w:rPr>
      </w:pPr>
      <w:r w:rsidRPr="00673864">
        <w:rPr>
          <w:rFonts w:ascii="Calibri" w:hAnsi="Calibri" w:cs="Calibri"/>
        </w:rPr>
        <w:t>Research progressively expanded into digital, inclusive, and learner-specific educational contexts (</w:t>
      </w:r>
      <w:r w:rsidRPr="00984FFB">
        <w:rPr>
          <w:rFonts w:ascii="Calibri" w:hAnsi="Calibri" w:cs="Calibri"/>
          <w:highlight w:val="yellow"/>
        </w:rPr>
        <w:t>Qureshi et al., 2024</w:t>
      </w:r>
      <w:r w:rsidRPr="00673864">
        <w:rPr>
          <w:rFonts w:ascii="Calibri" w:hAnsi="Calibri" w:cs="Calibri"/>
        </w:rPr>
        <w:t>). The growing prominence of psychological needs and inclusive education reflects broader educational applications (</w:t>
      </w:r>
      <w:r w:rsidRPr="00984FFB">
        <w:rPr>
          <w:rFonts w:ascii="Calibri" w:hAnsi="Calibri" w:cs="Calibri"/>
          <w:highlight w:val="yellow"/>
        </w:rPr>
        <w:t>Lage et al., 2000; Pelikan et al., 2021)</w:t>
      </w:r>
      <w:r w:rsidRPr="00673864">
        <w:rPr>
          <w:rFonts w:ascii="Calibri" w:hAnsi="Calibri" w:cs="Calibri"/>
        </w:rPr>
        <w:t>, while e-learning and online teaching gained visibility, particularly during the COVID-19 pandemic (</w:t>
      </w:r>
      <w:r w:rsidRPr="00984FFB">
        <w:rPr>
          <w:rFonts w:ascii="Calibri" w:hAnsi="Calibri" w:cs="Calibri"/>
          <w:highlight w:val="yellow"/>
        </w:rPr>
        <w:t>Holzer et al., 2021)</w:t>
      </w:r>
      <w:r w:rsidRPr="00673864">
        <w:rPr>
          <w:rFonts w:ascii="Calibri" w:hAnsi="Calibri" w:cs="Calibri"/>
        </w:rPr>
        <w:t xml:space="preserve">. Research involving Indigenous learners and students with developmental disabilities further diversified the field </w:t>
      </w:r>
      <w:r w:rsidRPr="00984FFB">
        <w:rPr>
          <w:rFonts w:ascii="Calibri" w:hAnsi="Calibri" w:cs="Calibri"/>
          <w:highlight w:val="yellow"/>
        </w:rPr>
        <w:t>(Gow et al., 2020</w:t>
      </w:r>
      <w:r w:rsidRPr="00673864">
        <w:rPr>
          <w:rFonts w:ascii="Calibri" w:hAnsi="Calibri" w:cs="Calibri"/>
        </w:rPr>
        <w:t>). Nevertheless, thematic integration remained uneven: motor themes exhibited stronger internal cohesion and connectivity, whereas niche and peripheral themes remained less integrated. Associations between SDT concepts and digital or hybrid learning environments (</w:t>
      </w:r>
      <w:r w:rsidRPr="00984FFB">
        <w:rPr>
          <w:rFonts w:ascii="Calibri" w:hAnsi="Calibri" w:cs="Calibri"/>
          <w:highlight w:val="yellow"/>
        </w:rPr>
        <w:t>Akram &amp; Li, 2024</w:t>
      </w:r>
      <w:r w:rsidRPr="00673864">
        <w:rPr>
          <w:rFonts w:ascii="Calibri" w:hAnsi="Calibri" w:cs="Calibri"/>
        </w:rPr>
        <w:t>) indicate expanding applications rather than demonstrated theoretical modifications or intervention effectiveness. Overall, the findings demonstrate contextual diversification around a stable motivational framework, with varying degrees of thematic consolidation.</w:t>
      </w:r>
    </w:p>
    <w:p w14:paraId="0F47BC31" w14:textId="77777777" w:rsidR="001465E0" w:rsidRPr="00673864" w:rsidRDefault="001465E0" w:rsidP="00673864">
      <w:pPr>
        <w:pStyle w:val="NormalWeb"/>
        <w:ind w:firstLine="0"/>
        <w:rPr>
          <w:rFonts w:ascii="Calibri" w:hAnsi="Calibri" w:cs="Calibri"/>
        </w:rPr>
      </w:pPr>
      <w:r w:rsidRPr="00673864">
        <w:rPr>
          <w:rFonts w:ascii="Calibri" w:hAnsi="Calibri" w:cs="Calibri"/>
        </w:rPr>
        <w:t>This study has several limitations. Its reliance on Scopus, English-language publications, and author-provided keywords restricts bibliographic coverage and may overlook relevant concepts or studies. Moreover, variations in search strategies, keyword standardization, analytical thresholds, and temporal divisions may influence thematic configurations. Bibliometric mapping identifies structural relationships but cannot establish causal mechanisms, theoretical development, intervention effectiveness, or the substantive quality of research contributions. Similarly, low centrality and density do not independently distinguish emerging from declining themes.</w:t>
      </w:r>
    </w:p>
    <w:p w14:paraId="4E0B4DFC" w14:textId="6C21AD39" w:rsidR="001465E0" w:rsidRDefault="001465E0" w:rsidP="00673864">
      <w:pPr>
        <w:pStyle w:val="NormalWeb"/>
        <w:ind w:firstLine="0"/>
        <w:rPr>
          <w:rFonts w:ascii="Calibri" w:hAnsi="Calibri" w:cs="Calibri"/>
        </w:rPr>
      </w:pPr>
      <w:r w:rsidRPr="00673864">
        <w:rPr>
          <w:rFonts w:ascii="Calibri" w:hAnsi="Calibri" w:cs="Calibri"/>
        </w:rPr>
        <w:t>Future research should integrate bibliometric analysis with systematic literature reviews, content analysis, and empirical approaches to examine the conceptual relationships underlying thematic clusters. Comparative and longitudinal investigations across cultural, digital, inclusive, and learner-specific educational contexts could clarify the applicability of SDT and the transferability of findings. Particular attention should be given to psychological needs, online learning, cognitive and affective processes, and inclusive pedagogical practices. Such approaches would strengthen understanding of knowledge accumulation and identify opportunities for theoretical and practical integration without equating bibliometric changes with modifications to SDT itself.</w:t>
      </w:r>
    </w:p>
    <w:p w14:paraId="62FF506D" w14:textId="77BD5503" w:rsidR="007D1B9F" w:rsidRDefault="007D1B9F" w:rsidP="00673864">
      <w:pPr>
        <w:pStyle w:val="NormalWeb"/>
        <w:ind w:firstLine="0"/>
        <w:rPr>
          <w:rFonts w:ascii="Calibri" w:hAnsi="Calibri" w:cs="Calibri"/>
        </w:rPr>
      </w:pPr>
    </w:p>
    <w:p w14:paraId="3573581D" w14:textId="77777777" w:rsidR="007D1B9F" w:rsidRPr="00673864" w:rsidRDefault="007D1B9F" w:rsidP="00673864">
      <w:pPr>
        <w:pStyle w:val="NormalWeb"/>
        <w:ind w:firstLine="0"/>
        <w:rPr>
          <w:rFonts w:ascii="Calibri" w:hAnsi="Calibri" w:cs="Calibri"/>
        </w:rPr>
      </w:pPr>
    </w:p>
    <w:p w14:paraId="115B5601" w14:textId="4689D42A" w:rsidR="003D6E94" w:rsidRPr="007D1B9F" w:rsidRDefault="007D1B9F" w:rsidP="007D1B9F">
      <w:pPr>
        <w:ind w:firstLine="0"/>
        <w:jc w:val="center"/>
        <w:rPr>
          <w:rFonts w:ascii="Calibri" w:eastAsia="Calibri" w:hAnsi="Calibri" w:cs="Calibri"/>
          <w:b/>
          <w:sz w:val="32"/>
          <w:szCs w:val="32"/>
          <w:lang w:val="en-US"/>
        </w:rPr>
      </w:pPr>
      <w:r w:rsidRPr="007D1B9F">
        <w:rPr>
          <w:rFonts w:ascii="Calibri" w:hAnsi="Calibri" w:cs="Calibri"/>
          <w:b/>
          <w:sz w:val="32"/>
          <w:szCs w:val="32"/>
          <w:lang w:val="en-US"/>
        </w:rPr>
        <w:t>Conclusions</w:t>
      </w:r>
    </w:p>
    <w:p w14:paraId="459EF2ED" w14:textId="77777777" w:rsidR="007D1B9F" w:rsidRDefault="007D1B9F" w:rsidP="00673864">
      <w:pPr>
        <w:ind w:firstLine="0"/>
        <w:rPr>
          <w:rFonts w:ascii="Calibri" w:hAnsi="Calibri" w:cs="Calibri"/>
          <w:bCs/>
          <w:sz w:val="24"/>
          <w:szCs w:val="24"/>
          <w:lang w:val="en-US" w:eastAsia="ru-RU"/>
        </w:rPr>
      </w:pPr>
    </w:p>
    <w:p w14:paraId="39E9D527" w14:textId="77777777" w:rsidR="007D1B9F" w:rsidRDefault="007D1B9F" w:rsidP="00673864">
      <w:pPr>
        <w:ind w:firstLine="0"/>
        <w:rPr>
          <w:rFonts w:ascii="Calibri" w:hAnsi="Calibri" w:cs="Calibri"/>
          <w:bCs/>
          <w:sz w:val="24"/>
          <w:szCs w:val="24"/>
          <w:lang w:val="en-US" w:eastAsia="ru-RU"/>
        </w:rPr>
      </w:pPr>
    </w:p>
    <w:p w14:paraId="104B0464" w14:textId="7DDA472F" w:rsidR="003D6E94" w:rsidRPr="00673864" w:rsidRDefault="00C72694" w:rsidP="00673864">
      <w:pPr>
        <w:ind w:firstLine="0"/>
        <w:rPr>
          <w:rFonts w:ascii="Calibri" w:hAnsi="Calibri" w:cs="Calibri"/>
          <w:bCs/>
          <w:sz w:val="24"/>
          <w:szCs w:val="24"/>
          <w:lang w:val="en-US" w:eastAsia="ru-RU"/>
        </w:rPr>
      </w:pPr>
      <w:r w:rsidRPr="00673864">
        <w:rPr>
          <w:rFonts w:ascii="Calibri" w:hAnsi="Calibri" w:cs="Calibri"/>
          <w:bCs/>
          <w:sz w:val="24"/>
          <w:szCs w:val="24"/>
          <w:lang w:val="en-US" w:eastAsia="ru-RU"/>
        </w:rPr>
        <w:t>This study examined how knowledge surrounding SDT in higher education developed across 862 Scopus-indexed documents published between 1979 and 2024. The evidence indicates a mixed trajectory: an enduring SDT-related motivational core provided continuity, while the surrounding literature diversified into new educational settings and learner populations. Integration was selective rather than uniform, with some themes becoming more cohesive and central and others remaining specialized or weakly connected.</w:t>
      </w:r>
    </w:p>
    <w:p w14:paraId="28F43D6E" w14:textId="02EFB7A4" w:rsidR="003D6E94" w:rsidRDefault="00C72694" w:rsidP="00673864">
      <w:pPr>
        <w:ind w:firstLine="0"/>
        <w:rPr>
          <w:rFonts w:ascii="Calibri" w:hAnsi="Calibri" w:cs="Calibri"/>
          <w:bCs/>
          <w:sz w:val="24"/>
          <w:szCs w:val="24"/>
          <w:lang w:val="en-US" w:eastAsia="ru-RU"/>
        </w:rPr>
      </w:pPr>
      <w:r w:rsidRPr="00673864">
        <w:rPr>
          <w:rFonts w:ascii="Calibri" w:hAnsi="Calibri" w:cs="Calibri"/>
          <w:bCs/>
          <w:sz w:val="24"/>
          <w:szCs w:val="24"/>
          <w:lang w:val="en-US" w:eastAsia="ru-RU"/>
        </w:rPr>
        <w:t>The study’s contribution is therefore a longitudinal diagnosis of knowledge development around a stable theoretical framework. It distinguishes growth in research activity and contextual reach from stronger evidence of cumulative conceptual development. The findings do not show that SDT’s constructs or mechanisms changed; rather, they show that scholarship around SDT expanded, diversified, and consolidated unevenly. This distinction provides a more precise account of the field’s development and establishes longitudinal structural change as the study’s distinctive contribution.</w:t>
      </w:r>
    </w:p>
    <w:p w14:paraId="4164D037" w14:textId="5394AC51" w:rsidR="00AC48B5" w:rsidRDefault="00AC48B5" w:rsidP="00673864">
      <w:pPr>
        <w:ind w:firstLine="0"/>
        <w:rPr>
          <w:rFonts w:ascii="Calibri" w:hAnsi="Calibri" w:cs="Calibri"/>
          <w:bCs/>
          <w:sz w:val="24"/>
          <w:szCs w:val="24"/>
          <w:lang w:val="en-US" w:eastAsia="ru-RU"/>
        </w:rPr>
      </w:pPr>
    </w:p>
    <w:p w14:paraId="09A38435" w14:textId="77777777" w:rsidR="00AC48B5" w:rsidRPr="00673864" w:rsidRDefault="00AC48B5" w:rsidP="00673864">
      <w:pPr>
        <w:ind w:firstLine="0"/>
        <w:rPr>
          <w:rFonts w:ascii="Calibri" w:hAnsi="Calibri" w:cs="Calibri"/>
          <w:bCs/>
          <w:sz w:val="24"/>
          <w:szCs w:val="24"/>
          <w:lang w:val="en-US" w:eastAsia="ru-RU"/>
        </w:rPr>
      </w:pPr>
    </w:p>
    <w:p w14:paraId="4AB73639" w14:textId="276E7446" w:rsidR="003D6E94" w:rsidRPr="00AC48B5" w:rsidRDefault="00AC48B5" w:rsidP="00AC48B5">
      <w:pPr>
        <w:ind w:firstLine="0"/>
        <w:jc w:val="center"/>
        <w:rPr>
          <w:rFonts w:ascii="Calibri" w:eastAsia="Calibri" w:hAnsi="Calibri" w:cs="Calibri"/>
          <w:b/>
          <w:bCs/>
          <w:sz w:val="32"/>
          <w:szCs w:val="32"/>
          <w:lang w:val="id-ID"/>
        </w:rPr>
      </w:pPr>
      <w:r w:rsidRPr="00AC48B5">
        <w:rPr>
          <w:rFonts w:ascii="Calibri" w:eastAsia="Calibri" w:hAnsi="Calibri" w:cs="Calibri"/>
          <w:b/>
          <w:bCs/>
          <w:sz w:val="32"/>
          <w:szCs w:val="32"/>
          <w:lang w:val="id-ID"/>
        </w:rPr>
        <w:t>References</w:t>
      </w:r>
    </w:p>
    <w:p w14:paraId="31BCF759" w14:textId="77777777" w:rsidR="00AC48B5" w:rsidRDefault="00AC48B5" w:rsidP="00AC48B5">
      <w:pPr>
        <w:pStyle w:val="NormalWeb"/>
        <w:ind w:left="709" w:hanging="709"/>
        <w:rPr>
          <w:rFonts w:ascii="Calibri" w:hAnsi="Calibri" w:cs="Calibri"/>
        </w:rPr>
      </w:pPr>
    </w:p>
    <w:p w14:paraId="2F7B4824" w14:textId="77777777" w:rsidR="00AC48B5" w:rsidRDefault="00AC48B5" w:rsidP="00AC48B5">
      <w:pPr>
        <w:pStyle w:val="NormalWeb"/>
        <w:ind w:left="709" w:hanging="709"/>
        <w:rPr>
          <w:rFonts w:ascii="Calibri" w:hAnsi="Calibri" w:cs="Calibri"/>
        </w:rPr>
      </w:pPr>
    </w:p>
    <w:p w14:paraId="7A030D9E" w14:textId="3969EB79"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Akram,</w:t>
      </w:r>
      <w:r w:rsidRPr="00673864">
        <w:rPr>
          <w:rFonts w:ascii="Calibri" w:hAnsi="Calibri" w:cs="Calibri"/>
        </w:rPr>
        <w:t xml:space="preserve"> H., &amp; Li, S. (2024). Understanding the role of teacher-student relationships in students’ online learning engagement: Mediating role of academic motivation. </w:t>
      </w:r>
      <w:r w:rsidRPr="00673864">
        <w:rPr>
          <w:rStyle w:val="nfasis"/>
          <w:rFonts w:ascii="Calibri" w:hAnsi="Calibri" w:cs="Calibri"/>
        </w:rPr>
        <w:t>Perceptual and Motor Skills, 131</w:t>
      </w:r>
      <w:r w:rsidRPr="00673864">
        <w:rPr>
          <w:rFonts w:ascii="Calibri" w:hAnsi="Calibri" w:cs="Calibri"/>
        </w:rPr>
        <w:t xml:space="preserve">(4), 1415–1438. </w:t>
      </w:r>
      <w:hyperlink r:id="rId16" w:history="1">
        <w:r w:rsidRPr="00673864">
          <w:rPr>
            <w:rStyle w:val="Hipervnculo"/>
            <w:rFonts w:ascii="Calibri" w:hAnsi="Calibri" w:cs="Calibri"/>
          </w:rPr>
          <w:t>https://doi.org/10.1177/00315125241248709</w:t>
        </w:r>
      </w:hyperlink>
    </w:p>
    <w:p w14:paraId="622E65C6" w14:textId="0F9DD594" w:rsidR="00074D7A" w:rsidRDefault="00074D7A" w:rsidP="00AC48B5">
      <w:pPr>
        <w:pStyle w:val="NormalWeb"/>
        <w:ind w:left="709" w:hanging="709"/>
        <w:rPr>
          <w:rFonts w:ascii="Calibri" w:hAnsi="Calibri" w:cs="Calibri"/>
        </w:rPr>
      </w:pPr>
      <w:r w:rsidRPr="00480A4C">
        <w:rPr>
          <w:rFonts w:ascii="Calibri" w:hAnsi="Calibri" w:cs="Calibri"/>
          <w:highlight w:val="yellow"/>
        </w:rPr>
        <w:t>Aria, M</w:t>
      </w:r>
      <w:r w:rsidRPr="00673864">
        <w:rPr>
          <w:rFonts w:ascii="Calibri" w:hAnsi="Calibri" w:cs="Calibri"/>
        </w:rPr>
        <w:t xml:space="preserve">., &amp; Cuccurullo, C. (2017). Bibliometrix: An R-tool for comprehensive science mapping analysis. </w:t>
      </w:r>
      <w:r w:rsidRPr="00673864">
        <w:rPr>
          <w:rStyle w:val="nfasis"/>
          <w:rFonts w:ascii="Calibri" w:hAnsi="Calibri" w:cs="Calibri"/>
        </w:rPr>
        <w:t>Journal of Informetrics, 11</w:t>
      </w:r>
      <w:r w:rsidRPr="00673864">
        <w:rPr>
          <w:rFonts w:ascii="Calibri" w:hAnsi="Calibri" w:cs="Calibri"/>
        </w:rPr>
        <w:t xml:space="preserve">(4), 959–975. </w:t>
      </w:r>
      <w:hyperlink r:id="rId17" w:history="1">
        <w:r w:rsidRPr="00673864">
          <w:rPr>
            <w:rStyle w:val="Hipervnculo"/>
            <w:rFonts w:ascii="Calibri" w:hAnsi="Calibri" w:cs="Calibri"/>
          </w:rPr>
          <w:t>https://doi.org/10.1016/j.joi.2017.08.007</w:t>
        </w:r>
      </w:hyperlink>
    </w:p>
    <w:p w14:paraId="351742FE" w14:textId="541B4370" w:rsidR="00AC48B5" w:rsidRPr="00480A4C" w:rsidRDefault="00480A4C" w:rsidP="00AC48B5">
      <w:pPr>
        <w:pStyle w:val="NormalWeb"/>
        <w:ind w:left="709" w:hanging="709"/>
        <w:rPr>
          <w:rFonts w:ascii="Calibri" w:hAnsi="Calibri" w:cs="Calibri"/>
          <w:lang w:val="en-US"/>
        </w:rPr>
      </w:pPr>
      <w:r w:rsidRPr="00480A4C">
        <w:rPr>
          <w:rFonts w:ascii="Calibri" w:hAnsi="Calibri" w:cs="Calibri"/>
          <w:highlight w:val="yellow"/>
        </w:rPr>
        <w:t>Bai</w:t>
      </w:r>
      <w:r w:rsidRPr="00480A4C">
        <w:rPr>
          <w:rFonts w:ascii="Calibri" w:hAnsi="Calibri" w:cs="Calibri"/>
          <w:highlight w:val="yellow"/>
          <w:lang w:val="en-US"/>
        </w:rPr>
        <w:t>,</w:t>
      </w:r>
      <w:r w:rsidRPr="00480A4C">
        <w:rPr>
          <w:rFonts w:ascii="Calibri" w:hAnsi="Calibri" w:cs="Calibri"/>
          <w:highlight w:val="yellow"/>
        </w:rPr>
        <w:t xml:space="preserve"> X,</w:t>
      </w:r>
      <w:r w:rsidRPr="00480A4C">
        <w:rPr>
          <w:rFonts w:ascii="Calibri" w:hAnsi="Calibri" w:cs="Calibri"/>
        </w:rPr>
        <w:t xml:space="preserve"> Hossain</w:t>
      </w:r>
      <w:r w:rsidRPr="00480A4C">
        <w:rPr>
          <w:rFonts w:ascii="Calibri" w:hAnsi="Calibri" w:cs="Calibri"/>
          <w:lang w:val="en-US"/>
        </w:rPr>
        <w:t>,</w:t>
      </w:r>
      <w:r w:rsidRPr="00480A4C">
        <w:rPr>
          <w:rFonts w:ascii="Calibri" w:hAnsi="Calibri" w:cs="Calibri"/>
        </w:rPr>
        <w:t xml:space="preserve"> M</w:t>
      </w:r>
      <w:r w:rsidRPr="00480A4C">
        <w:rPr>
          <w:rFonts w:ascii="Calibri" w:hAnsi="Calibri" w:cs="Calibri"/>
          <w:lang w:val="en-US"/>
        </w:rPr>
        <w:t xml:space="preserve">. </w:t>
      </w:r>
      <w:r w:rsidRPr="00480A4C">
        <w:rPr>
          <w:rFonts w:ascii="Calibri" w:hAnsi="Calibri" w:cs="Calibri"/>
        </w:rPr>
        <w:t>N</w:t>
      </w:r>
      <w:r w:rsidRPr="00480A4C">
        <w:rPr>
          <w:rFonts w:ascii="Calibri" w:hAnsi="Calibri" w:cs="Calibri"/>
          <w:lang w:val="en-US"/>
        </w:rPr>
        <w:t>.</w:t>
      </w:r>
      <w:r w:rsidRPr="00480A4C">
        <w:rPr>
          <w:rFonts w:ascii="Calibri" w:hAnsi="Calibri" w:cs="Calibri"/>
        </w:rPr>
        <w:t>, Kumar</w:t>
      </w:r>
      <w:r w:rsidRPr="00480A4C">
        <w:rPr>
          <w:rFonts w:ascii="Calibri" w:hAnsi="Calibri" w:cs="Calibri"/>
          <w:lang w:val="en-US"/>
        </w:rPr>
        <w:t>,</w:t>
      </w:r>
      <w:r w:rsidRPr="00480A4C">
        <w:rPr>
          <w:rFonts w:ascii="Calibri" w:hAnsi="Calibri" w:cs="Calibri"/>
        </w:rPr>
        <w:t xml:space="preserve"> N</w:t>
      </w:r>
      <w:r w:rsidRPr="00480A4C">
        <w:rPr>
          <w:rFonts w:ascii="Calibri" w:hAnsi="Calibri" w:cs="Calibri"/>
          <w:lang w:val="en-US"/>
        </w:rPr>
        <w:t>.</w:t>
      </w:r>
      <w:r w:rsidRPr="00480A4C">
        <w:rPr>
          <w:rFonts w:ascii="Calibri" w:hAnsi="Calibri" w:cs="Calibri"/>
        </w:rPr>
        <w:t xml:space="preserve"> </w:t>
      </w:r>
      <w:r w:rsidRPr="00480A4C">
        <w:rPr>
          <w:rFonts w:ascii="Calibri" w:hAnsi="Calibri" w:cs="Calibri"/>
          <w:lang w:val="en-US"/>
        </w:rPr>
        <w:t>(</w:t>
      </w:r>
      <w:r>
        <w:rPr>
          <w:rFonts w:ascii="Calibri" w:hAnsi="Calibri" w:cs="Calibri"/>
          <w:lang w:val="en-US"/>
        </w:rPr>
        <w:t>2022).</w:t>
      </w:r>
      <w:r w:rsidRPr="00480A4C">
        <w:t xml:space="preserve"> </w:t>
      </w:r>
      <w:r w:rsidRPr="00480A4C">
        <w:rPr>
          <w:rFonts w:ascii="Calibri" w:hAnsi="Calibri" w:cs="Calibri"/>
          <w:lang w:val="en-US"/>
        </w:rPr>
        <w:t>Effect of Perceived Fear, Quality, and Self-Determination on Learners’ Retention Intention on MOOCs</w:t>
      </w:r>
      <w:r>
        <w:rPr>
          <w:rFonts w:ascii="Calibri" w:hAnsi="Calibri" w:cs="Calibri"/>
          <w:lang w:val="en-US"/>
        </w:rPr>
        <w:t xml:space="preserve"> </w:t>
      </w:r>
      <w:r w:rsidRPr="00480A4C">
        <w:rPr>
          <w:rFonts w:ascii="Calibri" w:hAnsi="Calibri" w:cs="Calibri"/>
          <w:i/>
          <w:lang w:val="en-US"/>
        </w:rPr>
        <w:t>Psychology Res</w:t>
      </w:r>
      <w:r>
        <w:rPr>
          <w:rFonts w:ascii="Calibri" w:hAnsi="Calibri" w:cs="Calibri"/>
          <w:i/>
          <w:lang w:val="en-US"/>
        </w:rPr>
        <w:t xml:space="preserve">earch and Behavior Management, </w:t>
      </w:r>
      <w:r w:rsidRPr="00480A4C">
        <w:rPr>
          <w:rFonts w:ascii="Calibri" w:hAnsi="Calibri" w:cs="Calibri"/>
          <w:i/>
          <w:lang w:val="en-US"/>
        </w:rPr>
        <w:t>15</w:t>
      </w:r>
      <w:r>
        <w:rPr>
          <w:rFonts w:ascii="Calibri" w:hAnsi="Calibri" w:cs="Calibri"/>
          <w:i/>
          <w:lang w:val="en-US"/>
        </w:rPr>
        <w:t xml:space="preserve">, </w:t>
      </w:r>
      <w:r w:rsidRPr="00480A4C">
        <w:rPr>
          <w:rFonts w:ascii="Calibri" w:hAnsi="Calibri" w:cs="Calibri"/>
          <w:lang w:val="en-US"/>
        </w:rPr>
        <w:t>2843—2857</w:t>
      </w:r>
      <w:r>
        <w:rPr>
          <w:rFonts w:ascii="Calibri" w:hAnsi="Calibri" w:cs="Calibri"/>
          <w:lang w:val="en-US"/>
        </w:rPr>
        <w:t xml:space="preserve">. </w:t>
      </w:r>
      <w:hyperlink r:id="rId18" w:history="1">
        <w:r w:rsidRPr="00D674E9">
          <w:rPr>
            <w:rStyle w:val="Hipervnculo"/>
            <w:rFonts w:ascii="Calibri" w:hAnsi="Calibri" w:cs="Calibri"/>
            <w:lang w:val="en-US"/>
          </w:rPr>
          <w:t>https://doi.org/10.2147/PRBM.S379378</w:t>
        </w:r>
      </w:hyperlink>
      <w:r>
        <w:rPr>
          <w:rFonts w:ascii="Calibri" w:hAnsi="Calibri" w:cs="Calibri"/>
          <w:lang w:val="en-US"/>
        </w:rPr>
        <w:t xml:space="preserve"> </w:t>
      </w:r>
    </w:p>
    <w:p w14:paraId="2903550B" w14:textId="77777777" w:rsidR="00074D7A" w:rsidRPr="00673864" w:rsidRDefault="00074D7A" w:rsidP="00AC48B5">
      <w:pPr>
        <w:pStyle w:val="NormalWeb"/>
        <w:ind w:left="709" w:hanging="709"/>
        <w:rPr>
          <w:rFonts w:ascii="Calibri" w:hAnsi="Calibri" w:cs="Calibri"/>
        </w:rPr>
      </w:pPr>
      <w:r w:rsidRPr="00480A4C">
        <w:rPr>
          <w:rFonts w:ascii="Calibri" w:hAnsi="Calibri" w:cs="Calibri"/>
          <w:highlight w:val="yellow"/>
        </w:rPr>
        <w:t>Boyack</w:t>
      </w:r>
      <w:r w:rsidRPr="00673864">
        <w:rPr>
          <w:rFonts w:ascii="Calibri" w:hAnsi="Calibri" w:cs="Calibri"/>
        </w:rPr>
        <w:t xml:space="preserve">, K. W., &amp; Klavans, R. (2014). Creation of a highly detailed, dynamic, global model and map of science. </w:t>
      </w:r>
      <w:r w:rsidRPr="00673864">
        <w:rPr>
          <w:rStyle w:val="nfasis"/>
          <w:rFonts w:ascii="Calibri" w:hAnsi="Calibri" w:cs="Calibri"/>
        </w:rPr>
        <w:t>Journal of the Association for Information Science and Technology, 65</w:t>
      </w:r>
      <w:r w:rsidRPr="00673864">
        <w:rPr>
          <w:rFonts w:ascii="Calibri" w:hAnsi="Calibri" w:cs="Calibri"/>
        </w:rPr>
        <w:t xml:space="preserve">(4), 670–685. </w:t>
      </w:r>
      <w:hyperlink r:id="rId19" w:history="1">
        <w:r w:rsidRPr="00673864">
          <w:rPr>
            <w:rStyle w:val="Hipervnculo"/>
            <w:rFonts w:ascii="Calibri" w:hAnsi="Calibri" w:cs="Calibri"/>
          </w:rPr>
          <w:t>https://doi.org/10.1002/asi.22990</w:t>
        </w:r>
      </w:hyperlink>
    </w:p>
    <w:p w14:paraId="7FE240FD" w14:textId="77777777"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Callon, M., Courtial</w:t>
      </w:r>
      <w:r w:rsidRPr="00673864">
        <w:rPr>
          <w:rFonts w:ascii="Calibri" w:hAnsi="Calibri" w:cs="Calibri"/>
        </w:rPr>
        <w:t xml:space="preserve">, J. P., &amp; Laville, F. (1991). Co-word analysis as a tool for describing the network of interactions between basic and technological research: The case of polymer chemistry. </w:t>
      </w:r>
      <w:r w:rsidRPr="00673864">
        <w:rPr>
          <w:rStyle w:val="nfasis"/>
          <w:rFonts w:ascii="Calibri" w:hAnsi="Calibri" w:cs="Calibri"/>
        </w:rPr>
        <w:t>Scientometrics, 22</w:t>
      </w:r>
      <w:r w:rsidRPr="00673864">
        <w:rPr>
          <w:rFonts w:ascii="Calibri" w:hAnsi="Calibri" w:cs="Calibri"/>
        </w:rPr>
        <w:t xml:space="preserve">(1), 155–205. </w:t>
      </w:r>
      <w:hyperlink r:id="rId20" w:history="1">
        <w:r w:rsidRPr="00673864">
          <w:rPr>
            <w:rStyle w:val="Hipervnculo"/>
            <w:rFonts w:ascii="Calibri" w:hAnsi="Calibri" w:cs="Calibri"/>
          </w:rPr>
          <w:t>https://doi.org/10.1007/BF02019280</w:t>
        </w:r>
      </w:hyperlink>
    </w:p>
    <w:p w14:paraId="25E41A61" w14:textId="77777777"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Cobo, M. J., López-</w:t>
      </w:r>
      <w:r w:rsidRPr="00673864">
        <w:rPr>
          <w:rFonts w:ascii="Calibri" w:hAnsi="Calibri" w:cs="Calibri"/>
        </w:rPr>
        <w:t xml:space="preserve">Herrera, A. G., Herrera-Viedma, E., &amp; Herrera, F. (2011). Science mapping software tools: Review, analysis, and cooperative study among tools. </w:t>
      </w:r>
      <w:r w:rsidRPr="00673864">
        <w:rPr>
          <w:rStyle w:val="nfasis"/>
          <w:rFonts w:ascii="Calibri" w:hAnsi="Calibri" w:cs="Calibri"/>
        </w:rPr>
        <w:t>Journal of the American Society for Information Science and Technology, 62</w:t>
      </w:r>
      <w:r w:rsidRPr="00673864">
        <w:rPr>
          <w:rFonts w:ascii="Calibri" w:hAnsi="Calibri" w:cs="Calibri"/>
        </w:rPr>
        <w:t xml:space="preserve">(7), 1382–1402. </w:t>
      </w:r>
      <w:hyperlink r:id="rId21" w:history="1">
        <w:r w:rsidRPr="00673864">
          <w:rPr>
            <w:rStyle w:val="Hipervnculo"/>
            <w:rFonts w:ascii="Calibri" w:hAnsi="Calibri" w:cs="Calibri"/>
          </w:rPr>
          <w:t>https://doi.org/10.1002/asi.21525</w:t>
        </w:r>
      </w:hyperlink>
    </w:p>
    <w:p w14:paraId="3AD4C771"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De Freitas</w:t>
      </w:r>
      <w:r w:rsidRPr="00673864">
        <w:rPr>
          <w:rFonts w:ascii="Calibri" w:hAnsi="Calibri" w:cs="Calibri"/>
        </w:rPr>
        <w:t xml:space="preserve">, S., Waring, P., Douglas, H. E., Curtis, G. J., &amp; Ritchie, S. M. (2022). Delivering blended learning to transnational students: Students’ perceptions and needs-satisfaction. </w:t>
      </w:r>
      <w:r w:rsidRPr="00673864">
        <w:rPr>
          <w:rStyle w:val="nfasis"/>
          <w:rFonts w:ascii="Calibri" w:hAnsi="Calibri" w:cs="Calibri"/>
        </w:rPr>
        <w:t>Studies in Higher Education, 47</w:t>
      </w:r>
      <w:r w:rsidRPr="00673864">
        <w:rPr>
          <w:rFonts w:ascii="Calibri" w:hAnsi="Calibri" w:cs="Calibri"/>
        </w:rPr>
        <w:t xml:space="preserve">(9), 1890–1902. </w:t>
      </w:r>
      <w:hyperlink r:id="rId22" w:history="1">
        <w:r w:rsidRPr="00673864">
          <w:rPr>
            <w:rStyle w:val="Hipervnculo"/>
            <w:rFonts w:ascii="Calibri" w:hAnsi="Calibri" w:cs="Calibri"/>
          </w:rPr>
          <w:t>https://doi.org/10.1080/03075079.2021.1983533</w:t>
        </w:r>
      </w:hyperlink>
    </w:p>
    <w:p w14:paraId="0FF4097A"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Ferrer, J., Ringer</w:t>
      </w:r>
      <w:r w:rsidRPr="00673864">
        <w:rPr>
          <w:rFonts w:ascii="Calibri" w:hAnsi="Calibri" w:cs="Calibri"/>
        </w:rPr>
        <w:t xml:space="preserve">, A., Saville, K., Parris, M. A., &amp; Kashi, K. (2022). Students’ motivation and engagement in higher education: The importance of attitude to online learning. </w:t>
      </w:r>
      <w:r w:rsidRPr="00673864">
        <w:rPr>
          <w:rStyle w:val="nfasis"/>
          <w:rFonts w:ascii="Calibri" w:hAnsi="Calibri" w:cs="Calibri"/>
        </w:rPr>
        <w:t>Higher Education, 83</w:t>
      </w:r>
      <w:r w:rsidRPr="00673864">
        <w:rPr>
          <w:rFonts w:ascii="Calibri" w:hAnsi="Calibri" w:cs="Calibri"/>
        </w:rPr>
        <w:t xml:space="preserve">(2), 317–338. </w:t>
      </w:r>
      <w:hyperlink r:id="rId23" w:history="1">
        <w:r w:rsidRPr="00673864">
          <w:rPr>
            <w:rStyle w:val="Hipervnculo"/>
            <w:rFonts w:ascii="Calibri" w:hAnsi="Calibri" w:cs="Calibri"/>
          </w:rPr>
          <w:t>https://doi.org/10.1007/s10734-020-00657-5</w:t>
        </w:r>
      </w:hyperlink>
    </w:p>
    <w:p w14:paraId="201C557B" w14:textId="77777777"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Gow, M. A., Mostert</w:t>
      </w:r>
      <w:r w:rsidRPr="00673864">
        <w:rPr>
          <w:rFonts w:ascii="Calibri" w:hAnsi="Calibri" w:cs="Calibri"/>
        </w:rPr>
        <w:t xml:space="preserve">, Y., &amp; Dreyer, L. (2020). The promise of equal education not kept: Specific learning disabilities, the invisible disability. </w:t>
      </w:r>
      <w:r w:rsidRPr="00673864">
        <w:rPr>
          <w:rStyle w:val="nfasis"/>
          <w:rFonts w:ascii="Calibri" w:hAnsi="Calibri" w:cs="Calibri"/>
        </w:rPr>
        <w:t>African Journal of Disability, 9</w:t>
      </w:r>
      <w:r w:rsidRPr="00673864">
        <w:rPr>
          <w:rFonts w:ascii="Calibri" w:hAnsi="Calibri" w:cs="Calibri"/>
        </w:rPr>
        <w:t xml:space="preserve">, Article 647. </w:t>
      </w:r>
      <w:hyperlink r:id="rId24" w:history="1">
        <w:r w:rsidRPr="00673864">
          <w:rPr>
            <w:rStyle w:val="Hipervnculo"/>
            <w:rFonts w:ascii="Calibri" w:hAnsi="Calibri" w:cs="Calibri"/>
          </w:rPr>
          <w:t>https://doi.org/10.4102/ajod.v9i0.647</w:t>
        </w:r>
      </w:hyperlink>
    </w:p>
    <w:p w14:paraId="7A080016"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Holzer, J., Lüftenegger</w:t>
      </w:r>
      <w:r w:rsidRPr="00673864">
        <w:rPr>
          <w:rFonts w:ascii="Calibri" w:hAnsi="Calibri" w:cs="Calibri"/>
        </w:rPr>
        <w:t xml:space="preserve">, M., Korlat, S., Pelikan, E., Salmela-Aro, K., Spiel, C., &amp; Schober, B. (2021). Higher education in times of COVID-19: University students’ basic need satisfaction, self-regulated learning, and well-being. </w:t>
      </w:r>
      <w:r w:rsidRPr="00673864">
        <w:rPr>
          <w:rStyle w:val="nfasis"/>
          <w:rFonts w:ascii="Calibri" w:hAnsi="Calibri" w:cs="Calibri"/>
        </w:rPr>
        <w:t>AERA Open, 7</w:t>
      </w:r>
      <w:r w:rsidRPr="00673864">
        <w:rPr>
          <w:rFonts w:ascii="Calibri" w:hAnsi="Calibri" w:cs="Calibri"/>
        </w:rPr>
        <w:t xml:space="preserve">, Article 23328584211003164. </w:t>
      </w:r>
      <w:hyperlink r:id="rId25" w:history="1">
        <w:r w:rsidRPr="00673864">
          <w:rPr>
            <w:rStyle w:val="Hipervnculo"/>
            <w:rFonts w:ascii="Calibri" w:hAnsi="Calibri" w:cs="Calibri"/>
          </w:rPr>
          <w:t>https://doi.org/10.1177/23328584211003164</w:t>
        </w:r>
      </w:hyperlink>
    </w:p>
    <w:p w14:paraId="1FF832DF"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Hsu, H.-C. K., Wang</w:t>
      </w:r>
      <w:r w:rsidRPr="00673864">
        <w:rPr>
          <w:rFonts w:ascii="Calibri" w:hAnsi="Calibri" w:cs="Calibri"/>
        </w:rPr>
        <w:t xml:space="preserve">, C. V., &amp; Levesque-Bristol, C. (2019). Reexamining the impact of self-determination theory on learning outcomes in the online learning environment. </w:t>
      </w:r>
      <w:r w:rsidRPr="00673864">
        <w:rPr>
          <w:rStyle w:val="nfasis"/>
          <w:rFonts w:ascii="Calibri" w:hAnsi="Calibri" w:cs="Calibri"/>
        </w:rPr>
        <w:t>Education and Information Technologies, 24</w:t>
      </w:r>
      <w:r w:rsidRPr="00673864">
        <w:rPr>
          <w:rFonts w:ascii="Calibri" w:hAnsi="Calibri" w:cs="Calibri"/>
        </w:rPr>
        <w:t xml:space="preserve">(3), 2159–2174. </w:t>
      </w:r>
      <w:hyperlink r:id="rId26" w:history="1">
        <w:r w:rsidRPr="00673864">
          <w:rPr>
            <w:rStyle w:val="Hipervnculo"/>
            <w:rFonts w:ascii="Calibri" w:hAnsi="Calibri" w:cs="Calibri"/>
          </w:rPr>
          <w:t>https://doi.org/10.1007/s10639-019-09863-w</w:t>
        </w:r>
      </w:hyperlink>
    </w:p>
    <w:p w14:paraId="0FC457A0" w14:textId="77777777"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Lage, M</w:t>
      </w:r>
      <w:r w:rsidRPr="00673864">
        <w:rPr>
          <w:rFonts w:ascii="Calibri" w:hAnsi="Calibri" w:cs="Calibri"/>
        </w:rPr>
        <w:t xml:space="preserve">. J., Platt, G. J., &amp; Treglia, M. (2000). Inverting the classroom: A gateway to creating an inclusive learning environment. </w:t>
      </w:r>
      <w:r w:rsidRPr="00673864">
        <w:rPr>
          <w:rStyle w:val="nfasis"/>
          <w:rFonts w:ascii="Calibri" w:hAnsi="Calibri" w:cs="Calibri"/>
        </w:rPr>
        <w:t>The Journal of Economic Education, 31</w:t>
      </w:r>
      <w:r w:rsidRPr="00673864">
        <w:rPr>
          <w:rFonts w:ascii="Calibri" w:hAnsi="Calibri" w:cs="Calibri"/>
        </w:rPr>
        <w:t xml:space="preserve">(1), 30–43. </w:t>
      </w:r>
      <w:hyperlink r:id="rId27" w:history="1">
        <w:r w:rsidRPr="00673864">
          <w:rPr>
            <w:rStyle w:val="Hipervnculo"/>
            <w:rFonts w:ascii="Calibri" w:hAnsi="Calibri" w:cs="Calibri"/>
          </w:rPr>
          <w:t>https://doi.org/10.1080/00220480009596759</w:t>
        </w:r>
      </w:hyperlink>
    </w:p>
    <w:p w14:paraId="7A625AF4"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Larson, L. M.,</w:t>
      </w:r>
      <w:r w:rsidRPr="00673864">
        <w:rPr>
          <w:rFonts w:ascii="Calibri" w:hAnsi="Calibri" w:cs="Calibri"/>
        </w:rPr>
        <w:t xml:space="preserve"> Seipel, M. T., Shelley, M. C., Gahn, S. W., Ko, S. Y., Schenkenfelder, M., Rover, D. T., Schmittmann, B., &amp; Heitmann, M. M. (2019). The academic environment and faculty well-being: The role of psychological needs. </w:t>
      </w:r>
      <w:r w:rsidRPr="00673864">
        <w:rPr>
          <w:rStyle w:val="nfasis"/>
          <w:rFonts w:ascii="Calibri" w:hAnsi="Calibri" w:cs="Calibri"/>
        </w:rPr>
        <w:t>Journal of Career Assessment, 27</w:t>
      </w:r>
      <w:r w:rsidRPr="00673864">
        <w:rPr>
          <w:rFonts w:ascii="Calibri" w:hAnsi="Calibri" w:cs="Calibri"/>
        </w:rPr>
        <w:t xml:space="preserve">(1), 167–182. </w:t>
      </w:r>
      <w:hyperlink r:id="rId28" w:history="1">
        <w:r w:rsidRPr="00673864">
          <w:rPr>
            <w:rStyle w:val="Hipervnculo"/>
            <w:rFonts w:ascii="Calibri" w:hAnsi="Calibri" w:cs="Calibri"/>
          </w:rPr>
          <w:t>https://doi.org/10.1177/1069072717748667</w:t>
        </w:r>
      </w:hyperlink>
    </w:p>
    <w:p w14:paraId="2A484DEF"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Lozano-Jiménez</w:t>
      </w:r>
      <w:r w:rsidRPr="00673864">
        <w:rPr>
          <w:rFonts w:ascii="Calibri" w:hAnsi="Calibri" w:cs="Calibri"/>
        </w:rPr>
        <w:t xml:space="preserve">, J. E., Huéscar, E., &amp; Moreno-Murcia, J. A. (2021). From autonomy support and grit to satisfaction with life through self-determined motivation and group cohesion in higher education. </w:t>
      </w:r>
      <w:r w:rsidRPr="00673864">
        <w:rPr>
          <w:rStyle w:val="nfasis"/>
          <w:rFonts w:ascii="Calibri" w:hAnsi="Calibri" w:cs="Calibri"/>
        </w:rPr>
        <w:t>Frontiers in Psychology, 11</w:t>
      </w:r>
      <w:r w:rsidRPr="00673864">
        <w:rPr>
          <w:rFonts w:ascii="Calibri" w:hAnsi="Calibri" w:cs="Calibri"/>
        </w:rPr>
        <w:t xml:space="preserve">, Article 579492. </w:t>
      </w:r>
      <w:hyperlink r:id="rId29" w:history="1">
        <w:r w:rsidRPr="00673864">
          <w:rPr>
            <w:rStyle w:val="Hipervnculo"/>
            <w:rFonts w:ascii="Calibri" w:hAnsi="Calibri" w:cs="Calibri"/>
          </w:rPr>
          <w:t>https://doi.org/10.3389/fpsyg.2020.579492</w:t>
        </w:r>
      </w:hyperlink>
    </w:p>
    <w:p w14:paraId="32E29714" w14:textId="77777777" w:rsidR="00074D7A" w:rsidRPr="00673864" w:rsidRDefault="00074D7A" w:rsidP="00AC48B5">
      <w:pPr>
        <w:pStyle w:val="NormalWeb"/>
        <w:ind w:left="709" w:hanging="709"/>
        <w:rPr>
          <w:rFonts w:ascii="Calibri" w:hAnsi="Calibri" w:cs="Calibri"/>
        </w:rPr>
      </w:pPr>
      <w:r w:rsidRPr="00480A4C">
        <w:rPr>
          <w:rFonts w:ascii="Calibri" w:hAnsi="Calibri" w:cs="Calibri"/>
          <w:highlight w:val="yellow"/>
        </w:rPr>
        <w:t>Moher, D., Liberati</w:t>
      </w:r>
      <w:r w:rsidRPr="00673864">
        <w:rPr>
          <w:rFonts w:ascii="Calibri" w:hAnsi="Calibri" w:cs="Calibri"/>
        </w:rPr>
        <w:t xml:space="preserve">, A., Tetzlaff, J., &amp; Altman, D. G. (2009). Preferred reporting items for systematic reviews and meta-analyses: The PRISMA statement. </w:t>
      </w:r>
      <w:r w:rsidRPr="00673864">
        <w:rPr>
          <w:rStyle w:val="nfasis"/>
          <w:rFonts w:ascii="Calibri" w:hAnsi="Calibri" w:cs="Calibri"/>
        </w:rPr>
        <w:t>BMJ, 339</w:t>
      </w:r>
      <w:r w:rsidRPr="00673864">
        <w:rPr>
          <w:rFonts w:ascii="Calibri" w:hAnsi="Calibri" w:cs="Calibri"/>
        </w:rPr>
        <w:t xml:space="preserve">, Article b2535. </w:t>
      </w:r>
      <w:hyperlink r:id="rId30" w:history="1">
        <w:r w:rsidRPr="00673864">
          <w:rPr>
            <w:rStyle w:val="Hipervnculo"/>
            <w:rFonts w:ascii="Calibri" w:hAnsi="Calibri" w:cs="Calibri"/>
          </w:rPr>
          <w:t>https://doi.org/10.1136/bmj.b2535</w:t>
        </w:r>
      </w:hyperlink>
    </w:p>
    <w:p w14:paraId="39CA9828" w14:textId="77777777" w:rsidR="00074D7A" w:rsidRPr="00673864" w:rsidRDefault="00074D7A" w:rsidP="00AC48B5">
      <w:pPr>
        <w:pStyle w:val="NormalWeb"/>
        <w:ind w:left="709" w:hanging="709"/>
        <w:rPr>
          <w:rFonts w:ascii="Calibri" w:hAnsi="Calibri" w:cs="Calibri"/>
        </w:rPr>
      </w:pPr>
      <w:r w:rsidRPr="00AC48B5">
        <w:rPr>
          <w:rFonts w:ascii="Calibri" w:hAnsi="Calibri" w:cs="Calibri"/>
          <w:highlight w:val="yellow"/>
        </w:rPr>
        <w:t>Morris,</w:t>
      </w:r>
      <w:r w:rsidRPr="00673864">
        <w:rPr>
          <w:rFonts w:ascii="Calibri" w:hAnsi="Calibri" w:cs="Calibri"/>
        </w:rPr>
        <w:t xml:space="preserve"> T. H. (2019). Self-directed learning: A fundamental competence in a rapidly changing world. </w:t>
      </w:r>
      <w:r w:rsidRPr="00673864">
        <w:rPr>
          <w:rStyle w:val="nfasis"/>
          <w:rFonts w:ascii="Calibri" w:hAnsi="Calibri" w:cs="Calibri"/>
        </w:rPr>
        <w:t>International Review of Education, 65</w:t>
      </w:r>
      <w:r w:rsidRPr="00673864">
        <w:rPr>
          <w:rFonts w:ascii="Calibri" w:hAnsi="Calibri" w:cs="Calibri"/>
        </w:rPr>
        <w:t xml:space="preserve">(4), 633–653. </w:t>
      </w:r>
      <w:hyperlink r:id="rId31" w:history="1">
        <w:r w:rsidRPr="00673864">
          <w:rPr>
            <w:rStyle w:val="Hipervnculo"/>
            <w:rFonts w:ascii="Calibri" w:hAnsi="Calibri" w:cs="Calibri"/>
          </w:rPr>
          <w:t>https://doi.org/10.1007/s11159-019-09793-2</w:t>
        </w:r>
      </w:hyperlink>
    </w:p>
    <w:p w14:paraId="2C3C11B8" w14:textId="6011F074"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Pelikan, E. R., Korlat</w:t>
      </w:r>
      <w:r w:rsidRPr="00673864">
        <w:rPr>
          <w:rFonts w:ascii="Calibri" w:hAnsi="Calibri" w:cs="Calibri"/>
        </w:rPr>
        <w:t xml:space="preserve">, S., Reiter, J., Holzer, J., Mayerhofer, M., Schober, B., Spiel, C., Hamzallari, O., Uka, A., Chen, J., Välimäki, M., Puharić, Z., Anusionwu, K. E., Okocha, A. N., Zabrodskaja, A., Salmela-Aro, K., Käser, U., Schultze-Krumbholz, A., Wachs, S., . . . </w:t>
      </w:r>
      <w:r w:rsidR="00AC48B5" w:rsidRPr="0082636F">
        <w:rPr>
          <w:rFonts w:ascii="Calibri" w:hAnsi="Calibri" w:cs="Calibri"/>
          <w:lang w:val="en-US"/>
        </w:rPr>
        <w:t xml:space="preserve">&amp; </w:t>
      </w:r>
      <w:r w:rsidRPr="00673864">
        <w:rPr>
          <w:rFonts w:ascii="Calibri" w:hAnsi="Calibri" w:cs="Calibri"/>
        </w:rPr>
        <w:t xml:space="preserve">Lüftenegger, M. (2021). Distance learning in higher education during COVID-19: The role of basic psychological needs and intrinsic motivation for persistence and procrastination, a multi-country study. </w:t>
      </w:r>
      <w:r w:rsidRPr="00673864">
        <w:rPr>
          <w:rStyle w:val="nfasis"/>
          <w:rFonts w:ascii="Calibri" w:hAnsi="Calibri" w:cs="Calibri"/>
        </w:rPr>
        <w:t>PLOS ONE, 16</w:t>
      </w:r>
      <w:r w:rsidRPr="00673864">
        <w:rPr>
          <w:rFonts w:ascii="Calibri" w:hAnsi="Calibri" w:cs="Calibri"/>
        </w:rPr>
        <w:t xml:space="preserve">(10), Article e0257346. </w:t>
      </w:r>
      <w:hyperlink r:id="rId32" w:history="1">
        <w:r w:rsidRPr="00673864">
          <w:rPr>
            <w:rStyle w:val="Hipervnculo"/>
            <w:rFonts w:ascii="Calibri" w:hAnsi="Calibri" w:cs="Calibri"/>
          </w:rPr>
          <w:t>https://doi.org/10.1371/journal.pone.0257346</w:t>
        </w:r>
      </w:hyperlink>
    </w:p>
    <w:p w14:paraId="17809BDC" w14:textId="77777777" w:rsidR="00074D7A" w:rsidRPr="00673864" w:rsidRDefault="00074D7A" w:rsidP="00AC48B5">
      <w:pPr>
        <w:pStyle w:val="NormalWeb"/>
        <w:ind w:left="709" w:hanging="709"/>
        <w:rPr>
          <w:rFonts w:ascii="Calibri" w:hAnsi="Calibri" w:cs="Calibri"/>
        </w:rPr>
      </w:pPr>
      <w:r w:rsidRPr="00984FFB">
        <w:rPr>
          <w:rFonts w:ascii="Calibri" w:hAnsi="Calibri" w:cs="Calibri"/>
          <w:highlight w:val="yellow"/>
        </w:rPr>
        <w:t>Qureshi, F., Khawaja, S., Sokić, K.,</w:t>
      </w:r>
      <w:r w:rsidRPr="00673864">
        <w:rPr>
          <w:rFonts w:ascii="Calibri" w:hAnsi="Calibri" w:cs="Calibri"/>
        </w:rPr>
        <w:t xml:space="preserve"> Pejić Bach, M., &amp; Meško, M. (2024). Exploring intrinsic motivation and mental well-being in private higher educational systems: A cross-sectional study. </w:t>
      </w:r>
      <w:r w:rsidRPr="00673864">
        <w:rPr>
          <w:rStyle w:val="nfasis"/>
          <w:rFonts w:ascii="Calibri" w:hAnsi="Calibri" w:cs="Calibri"/>
        </w:rPr>
        <w:t>Systems, 12</w:t>
      </w:r>
      <w:r w:rsidRPr="00673864">
        <w:rPr>
          <w:rFonts w:ascii="Calibri" w:hAnsi="Calibri" w:cs="Calibri"/>
        </w:rPr>
        <w:t xml:space="preserve">(8), Article 281. </w:t>
      </w:r>
      <w:hyperlink r:id="rId33" w:history="1">
        <w:r w:rsidRPr="00673864">
          <w:rPr>
            <w:rStyle w:val="Hipervnculo"/>
            <w:rFonts w:ascii="Calibri" w:hAnsi="Calibri" w:cs="Calibri"/>
          </w:rPr>
          <w:t>https://doi.org/10.3390/systems12080281</w:t>
        </w:r>
      </w:hyperlink>
    </w:p>
    <w:p w14:paraId="3BE7FC7F" w14:textId="77777777" w:rsidR="00074D7A" w:rsidRPr="00673864" w:rsidRDefault="00074D7A" w:rsidP="00AC48B5">
      <w:pPr>
        <w:pStyle w:val="NormalWeb"/>
        <w:ind w:left="709" w:hanging="709"/>
        <w:rPr>
          <w:rFonts w:ascii="Calibri" w:hAnsi="Calibri" w:cs="Calibri"/>
          <w:lang w:val="en-US"/>
        </w:rPr>
      </w:pPr>
      <w:r w:rsidRPr="00AC48B5">
        <w:rPr>
          <w:rFonts w:ascii="Calibri" w:hAnsi="Calibri" w:cs="Calibri"/>
          <w:highlight w:val="yellow"/>
        </w:rPr>
        <w:t>Reeve, J. (2012</w:t>
      </w:r>
      <w:r w:rsidRPr="00673864">
        <w:rPr>
          <w:rFonts w:ascii="Calibri" w:hAnsi="Calibri" w:cs="Calibri"/>
        </w:rPr>
        <w:t xml:space="preserve">). A self-determination theory perspective on student engagement. In S. L. Christenson, A. L. Reschly, &amp; C. Wylie (Eds.), </w:t>
      </w:r>
      <w:r w:rsidRPr="00673864">
        <w:rPr>
          <w:rStyle w:val="nfasis"/>
          <w:rFonts w:ascii="Calibri" w:hAnsi="Calibri" w:cs="Calibri"/>
        </w:rPr>
        <w:t>Handbook of research on student engagement</w:t>
      </w:r>
      <w:r w:rsidRPr="00673864">
        <w:rPr>
          <w:rFonts w:ascii="Calibri" w:hAnsi="Calibri" w:cs="Calibri"/>
        </w:rPr>
        <w:t xml:space="preserve"> (pp. 149–172). Springer. </w:t>
      </w:r>
      <w:hyperlink r:id="rId34" w:history="1"/>
      <w:r w:rsidRPr="00673864">
        <w:rPr>
          <w:rFonts w:ascii="Calibri" w:hAnsi="Calibri" w:cs="Calibri"/>
          <w:lang w:val="en-US"/>
        </w:rPr>
        <w:t xml:space="preserve"> </w:t>
      </w:r>
    </w:p>
    <w:p w14:paraId="4DCE691B" w14:textId="77777777" w:rsidR="00074D7A" w:rsidRPr="0082636F" w:rsidRDefault="00074D7A" w:rsidP="00AC48B5">
      <w:pPr>
        <w:ind w:left="709" w:hanging="709"/>
        <w:rPr>
          <w:rFonts w:ascii="Calibri" w:eastAsia="Times New Roman" w:hAnsi="Calibri" w:cs="Calibri"/>
          <w:sz w:val="24"/>
          <w:szCs w:val="24"/>
          <w:lang w:val="en-US" w:eastAsia="es-ES"/>
        </w:rPr>
      </w:pPr>
      <w:r w:rsidRPr="00AC48B5">
        <w:rPr>
          <w:rFonts w:ascii="Calibri" w:eastAsia="Times New Roman" w:hAnsi="Calibri" w:cs="Calibri"/>
          <w:sz w:val="24"/>
          <w:szCs w:val="24"/>
          <w:highlight w:val="yellow"/>
          <w:lang w:val="en-US" w:eastAsia="es-ES"/>
        </w:rPr>
        <w:t>Ryan, R. M., &amp; Dec</w:t>
      </w:r>
      <w:r w:rsidRPr="00673864">
        <w:rPr>
          <w:rFonts w:ascii="Calibri" w:eastAsia="Times New Roman" w:hAnsi="Calibri" w:cs="Calibri"/>
          <w:sz w:val="24"/>
          <w:szCs w:val="24"/>
          <w:lang w:val="en-US" w:eastAsia="es-ES"/>
        </w:rPr>
        <w:t xml:space="preserve">i, E. L. (2019). Brick by brick: The origins, development, and future of self-determination theory. In A. J. Elliot (Ed.), </w:t>
      </w:r>
      <w:r w:rsidRPr="00AC48B5">
        <w:rPr>
          <w:rFonts w:ascii="Calibri" w:eastAsia="Times New Roman" w:hAnsi="Calibri" w:cs="Calibri"/>
          <w:i/>
          <w:sz w:val="24"/>
          <w:szCs w:val="24"/>
          <w:lang w:val="en-US" w:eastAsia="es-ES"/>
        </w:rPr>
        <w:t>Advances in motivation science</w:t>
      </w:r>
      <w:r w:rsidRPr="00673864">
        <w:rPr>
          <w:rFonts w:ascii="Calibri" w:eastAsia="Times New Roman" w:hAnsi="Calibri" w:cs="Calibri"/>
          <w:sz w:val="24"/>
          <w:szCs w:val="24"/>
          <w:lang w:val="en-US" w:eastAsia="es-ES"/>
        </w:rPr>
        <w:t xml:space="preserve"> (Vol. 6, pp. 111–156). </w:t>
      </w:r>
      <w:r w:rsidRPr="0082636F">
        <w:rPr>
          <w:rFonts w:ascii="Calibri" w:eastAsia="Times New Roman" w:hAnsi="Calibri" w:cs="Calibri"/>
          <w:sz w:val="24"/>
          <w:szCs w:val="24"/>
          <w:lang w:val="en-US" w:eastAsia="es-ES"/>
        </w:rPr>
        <w:t>Elsevier.</w:t>
      </w:r>
    </w:p>
    <w:p w14:paraId="02A309E7" w14:textId="1E808DD0" w:rsidR="00074D7A" w:rsidRPr="00673864" w:rsidRDefault="00074D7A" w:rsidP="00AC48B5">
      <w:pPr>
        <w:pStyle w:val="NormalWeb"/>
        <w:ind w:left="709" w:hanging="709"/>
        <w:rPr>
          <w:rFonts w:ascii="Calibri" w:hAnsi="Calibri" w:cs="Calibri"/>
          <w:lang w:val="es-ES"/>
        </w:rPr>
      </w:pPr>
      <w:r w:rsidRPr="00984FFB">
        <w:rPr>
          <w:rFonts w:ascii="Calibri" w:hAnsi="Calibri" w:cs="Calibri"/>
          <w:highlight w:val="yellow"/>
        </w:rPr>
        <w:t>Ryan, R. M., &amp; Deci</w:t>
      </w:r>
      <w:r w:rsidRPr="00673864">
        <w:rPr>
          <w:rFonts w:ascii="Calibri" w:hAnsi="Calibri" w:cs="Calibri"/>
        </w:rPr>
        <w:t xml:space="preserve">, E. L. (2023). Self-determination theory. In F. Maggino (Ed.), </w:t>
      </w:r>
      <w:r w:rsidRPr="00673864">
        <w:rPr>
          <w:rStyle w:val="nfasis"/>
          <w:rFonts w:ascii="Calibri" w:hAnsi="Calibri" w:cs="Calibri"/>
        </w:rPr>
        <w:t>Encyclopedia of quality of life and well-being research</w:t>
      </w:r>
      <w:r w:rsidRPr="00673864">
        <w:rPr>
          <w:rFonts w:ascii="Calibri" w:hAnsi="Calibri" w:cs="Calibri"/>
        </w:rPr>
        <w:t xml:space="preserve"> (pp. 6229–6235). Springer. </w:t>
      </w:r>
      <w:hyperlink r:id="rId35" w:history="1"/>
    </w:p>
    <w:p w14:paraId="514B514C" w14:textId="2B42744C" w:rsidR="00AC48B5" w:rsidRPr="00673864" w:rsidRDefault="00AC48B5" w:rsidP="00AC48B5">
      <w:pPr>
        <w:ind w:firstLine="0"/>
        <w:rPr>
          <w:rFonts w:ascii="Calibri" w:eastAsia="Calibri" w:hAnsi="Calibri" w:cs="Calibri"/>
          <w:b/>
          <w:bCs/>
          <w:sz w:val="24"/>
          <w:szCs w:val="24"/>
          <w:lang w:val="en-US"/>
        </w:rPr>
      </w:pPr>
    </w:p>
    <w:sectPr w:rsidR="00AC48B5" w:rsidRPr="00673864">
      <w:type w:val="continuous"/>
      <w:pgSz w:w="12242" w:h="15842"/>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40C2B" w14:textId="77777777" w:rsidR="00761B09" w:rsidRDefault="00761B09">
      <w:pPr>
        <w:spacing w:line="240" w:lineRule="auto"/>
      </w:pPr>
      <w:r>
        <w:separator/>
      </w:r>
    </w:p>
  </w:endnote>
  <w:endnote w:type="continuationSeparator" w:id="0">
    <w:p w14:paraId="55D1C5EC" w14:textId="77777777" w:rsidR="00761B09" w:rsidRDefault="00761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Helvetica Neue"/>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49C74" w14:textId="77777777" w:rsidR="00761B09" w:rsidRDefault="00761B09">
      <w:r>
        <w:separator/>
      </w:r>
    </w:p>
  </w:footnote>
  <w:footnote w:type="continuationSeparator" w:id="0">
    <w:p w14:paraId="462C3AD1" w14:textId="77777777" w:rsidR="00761B09" w:rsidRDefault="00761B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Y0MjMwNzc0M7EwsjBT0lEKTi0uzszPAykwrAUAXYuFiCwAAAA="/>
  </w:docVars>
  <w:rsids>
    <w:rsidRoot w:val="0096193A"/>
    <w:rsid w:val="DB43C11F"/>
    <w:rsid w:val="DDFC3140"/>
    <w:rsid w:val="FFEF5CCD"/>
    <w:rsid w:val="000008BD"/>
    <w:rsid w:val="00000C5F"/>
    <w:rsid w:val="00002A5E"/>
    <w:rsid w:val="000033FC"/>
    <w:rsid w:val="00005F32"/>
    <w:rsid w:val="00006366"/>
    <w:rsid w:val="00010BDA"/>
    <w:rsid w:val="00012D09"/>
    <w:rsid w:val="00013A17"/>
    <w:rsid w:val="000169D7"/>
    <w:rsid w:val="00016C65"/>
    <w:rsid w:val="000208B8"/>
    <w:rsid w:val="00020E85"/>
    <w:rsid w:val="000215FD"/>
    <w:rsid w:val="0002222A"/>
    <w:rsid w:val="00022856"/>
    <w:rsid w:val="0002379B"/>
    <w:rsid w:val="00023959"/>
    <w:rsid w:val="00024699"/>
    <w:rsid w:val="00024D7E"/>
    <w:rsid w:val="00026558"/>
    <w:rsid w:val="00030407"/>
    <w:rsid w:val="00030C76"/>
    <w:rsid w:val="00032EC4"/>
    <w:rsid w:val="00033BFB"/>
    <w:rsid w:val="00033D5A"/>
    <w:rsid w:val="00035BB1"/>
    <w:rsid w:val="000373B9"/>
    <w:rsid w:val="000379CC"/>
    <w:rsid w:val="00041E31"/>
    <w:rsid w:val="00041F30"/>
    <w:rsid w:val="000430DB"/>
    <w:rsid w:val="00043291"/>
    <w:rsid w:val="000447EE"/>
    <w:rsid w:val="00044CEC"/>
    <w:rsid w:val="00044FB8"/>
    <w:rsid w:val="00045649"/>
    <w:rsid w:val="000508F7"/>
    <w:rsid w:val="000512EB"/>
    <w:rsid w:val="00052900"/>
    <w:rsid w:val="00053008"/>
    <w:rsid w:val="00055A63"/>
    <w:rsid w:val="000567AC"/>
    <w:rsid w:val="0005682D"/>
    <w:rsid w:val="00063088"/>
    <w:rsid w:val="0006494E"/>
    <w:rsid w:val="000650EE"/>
    <w:rsid w:val="00067F3F"/>
    <w:rsid w:val="000700BB"/>
    <w:rsid w:val="00072B71"/>
    <w:rsid w:val="00072E3E"/>
    <w:rsid w:val="00073DCF"/>
    <w:rsid w:val="00073EC3"/>
    <w:rsid w:val="00073F51"/>
    <w:rsid w:val="000743D0"/>
    <w:rsid w:val="00074D7A"/>
    <w:rsid w:val="000758D5"/>
    <w:rsid w:val="000764F4"/>
    <w:rsid w:val="00076F56"/>
    <w:rsid w:val="00080311"/>
    <w:rsid w:val="000819D1"/>
    <w:rsid w:val="000825D2"/>
    <w:rsid w:val="00083859"/>
    <w:rsid w:val="00084027"/>
    <w:rsid w:val="000863F5"/>
    <w:rsid w:val="00090C96"/>
    <w:rsid w:val="000916E0"/>
    <w:rsid w:val="000937AA"/>
    <w:rsid w:val="00093CD7"/>
    <w:rsid w:val="00093DBA"/>
    <w:rsid w:val="000956A3"/>
    <w:rsid w:val="000A33AA"/>
    <w:rsid w:val="000A3F36"/>
    <w:rsid w:val="000A5ED8"/>
    <w:rsid w:val="000A6420"/>
    <w:rsid w:val="000A6C10"/>
    <w:rsid w:val="000A795D"/>
    <w:rsid w:val="000B096F"/>
    <w:rsid w:val="000B131D"/>
    <w:rsid w:val="000B1653"/>
    <w:rsid w:val="000B1729"/>
    <w:rsid w:val="000B2691"/>
    <w:rsid w:val="000B3631"/>
    <w:rsid w:val="000B5649"/>
    <w:rsid w:val="000B5E51"/>
    <w:rsid w:val="000B6E0A"/>
    <w:rsid w:val="000C25DA"/>
    <w:rsid w:val="000C2951"/>
    <w:rsid w:val="000C3FD2"/>
    <w:rsid w:val="000C63EA"/>
    <w:rsid w:val="000C77BC"/>
    <w:rsid w:val="000D003C"/>
    <w:rsid w:val="000E18E0"/>
    <w:rsid w:val="000E1E0A"/>
    <w:rsid w:val="000E50D5"/>
    <w:rsid w:val="000E5D12"/>
    <w:rsid w:val="000E7567"/>
    <w:rsid w:val="000F08F7"/>
    <w:rsid w:val="000F0F84"/>
    <w:rsid w:val="000F175A"/>
    <w:rsid w:val="000F3BB0"/>
    <w:rsid w:val="000F4AC7"/>
    <w:rsid w:val="000F6311"/>
    <w:rsid w:val="00100445"/>
    <w:rsid w:val="001004B4"/>
    <w:rsid w:val="00105C25"/>
    <w:rsid w:val="001068B8"/>
    <w:rsid w:val="00107F69"/>
    <w:rsid w:val="001111B8"/>
    <w:rsid w:val="0011454F"/>
    <w:rsid w:val="00120C59"/>
    <w:rsid w:val="001210CD"/>
    <w:rsid w:val="00122FCF"/>
    <w:rsid w:val="00123329"/>
    <w:rsid w:val="001247DF"/>
    <w:rsid w:val="00125824"/>
    <w:rsid w:val="00126658"/>
    <w:rsid w:val="00130161"/>
    <w:rsid w:val="00131D37"/>
    <w:rsid w:val="00131E62"/>
    <w:rsid w:val="0013265A"/>
    <w:rsid w:val="00132CC6"/>
    <w:rsid w:val="001342E3"/>
    <w:rsid w:val="00136250"/>
    <w:rsid w:val="00136FE2"/>
    <w:rsid w:val="0013701C"/>
    <w:rsid w:val="00137341"/>
    <w:rsid w:val="00137A13"/>
    <w:rsid w:val="0014207D"/>
    <w:rsid w:val="001427F0"/>
    <w:rsid w:val="00143584"/>
    <w:rsid w:val="001465E0"/>
    <w:rsid w:val="00147CD0"/>
    <w:rsid w:val="00151018"/>
    <w:rsid w:val="00152708"/>
    <w:rsid w:val="00153165"/>
    <w:rsid w:val="00156D41"/>
    <w:rsid w:val="00161FD8"/>
    <w:rsid w:val="00162411"/>
    <w:rsid w:val="00162E02"/>
    <w:rsid w:val="00163CAB"/>
    <w:rsid w:val="00165967"/>
    <w:rsid w:val="00167B9A"/>
    <w:rsid w:val="001706E0"/>
    <w:rsid w:val="00170721"/>
    <w:rsid w:val="001729B0"/>
    <w:rsid w:val="001733D5"/>
    <w:rsid w:val="00175B75"/>
    <w:rsid w:val="00177E41"/>
    <w:rsid w:val="00184949"/>
    <w:rsid w:val="001871A1"/>
    <w:rsid w:val="0019433A"/>
    <w:rsid w:val="00196059"/>
    <w:rsid w:val="0019742E"/>
    <w:rsid w:val="00197DC0"/>
    <w:rsid w:val="001A0BAF"/>
    <w:rsid w:val="001A32EF"/>
    <w:rsid w:val="001A5F07"/>
    <w:rsid w:val="001A7B9E"/>
    <w:rsid w:val="001B049A"/>
    <w:rsid w:val="001B05BB"/>
    <w:rsid w:val="001B345B"/>
    <w:rsid w:val="001B3EBA"/>
    <w:rsid w:val="001B73F7"/>
    <w:rsid w:val="001B7636"/>
    <w:rsid w:val="001C0D2C"/>
    <w:rsid w:val="001C1A37"/>
    <w:rsid w:val="001C2E54"/>
    <w:rsid w:val="001C3063"/>
    <w:rsid w:val="001C321B"/>
    <w:rsid w:val="001C7653"/>
    <w:rsid w:val="001D128C"/>
    <w:rsid w:val="001D162C"/>
    <w:rsid w:val="001D42F7"/>
    <w:rsid w:val="001D5083"/>
    <w:rsid w:val="001D6326"/>
    <w:rsid w:val="001D6657"/>
    <w:rsid w:val="001D793B"/>
    <w:rsid w:val="001E2D54"/>
    <w:rsid w:val="001E42A8"/>
    <w:rsid w:val="001E746F"/>
    <w:rsid w:val="001F05B8"/>
    <w:rsid w:val="001F248F"/>
    <w:rsid w:val="001F3129"/>
    <w:rsid w:val="001F544C"/>
    <w:rsid w:val="001F7227"/>
    <w:rsid w:val="001F7994"/>
    <w:rsid w:val="00200032"/>
    <w:rsid w:val="002004AE"/>
    <w:rsid w:val="00201E24"/>
    <w:rsid w:val="00203145"/>
    <w:rsid w:val="00204E38"/>
    <w:rsid w:val="00205318"/>
    <w:rsid w:val="00205E0B"/>
    <w:rsid w:val="00207514"/>
    <w:rsid w:val="00207AC7"/>
    <w:rsid w:val="00210656"/>
    <w:rsid w:val="00210C35"/>
    <w:rsid w:val="00211BCE"/>
    <w:rsid w:val="00213C31"/>
    <w:rsid w:val="00217A5D"/>
    <w:rsid w:val="00217A68"/>
    <w:rsid w:val="00220007"/>
    <w:rsid w:val="0022022E"/>
    <w:rsid w:val="002203D6"/>
    <w:rsid w:val="0022040F"/>
    <w:rsid w:val="00221672"/>
    <w:rsid w:val="0022178E"/>
    <w:rsid w:val="00225020"/>
    <w:rsid w:val="00230872"/>
    <w:rsid w:val="002318E8"/>
    <w:rsid w:val="00231E2A"/>
    <w:rsid w:val="00235D7D"/>
    <w:rsid w:val="00236A85"/>
    <w:rsid w:val="002373FC"/>
    <w:rsid w:val="00237A34"/>
    <w:rsid w:val="00240263"/>
    <w:rsid w:val="00240BCF"/>
    <w:rsid w:val="00240BF2"/>
    <w:rsid w:val="00241184"/>
    <w:rsid w:val="002414CE"/>
    <w:rsid w:val="0024353C"/>
    <w:rsid w:val="00244386"/>
    <w:rsid w:val="00247C2C"/>
    <w:rsid w:val="00250597"/>
    <w:rsid w:val="00253628"/>
    <w:rsid w:val="002619C0"/>
    <w:rsid w:val="00261A63"/>
    <w:rsid w:val="002620D2"/>
    <w:rsid w:val="00263830"/>
    <w:rsid w:val="002659C5"/>
    <w:rsid w:val="002662E5"/>
    <w:rsid w:val="002712CE"/>
    <w:rsid w:val="00271D05"/>
    <w:rsid w:val="00273C35"/>
    <w:rsid w:val="00273E31"/>
    <w:rsid w:val="00276AE9"/>
    <w:rsid w:val="00280ED5"/>
    <w:rsid w:val="00281BF8"/>
    <w:rsid w:val="0028215C"/>
    <w:rsid w:val="00283262"/>
    <w:rsid w:val="00283552"/>
    <w:rsid w:val="00283B30"/>
    <w:rsid w:val="00290700"/>
    <w:rsid w:val="002925C8"/>
    <w:rsid w:val="002946C1"/>
    <w:rsid w:val="00294A59"/>
    <w:rsid w:val="0029705D"/>
    <w:rsid w:val="002A0C88"/>
    <w:rsid w:val="002A14CD"/>
    <w:rsid w:val="002A2526"/>
    <w:rsid w:val="002A2594"/>
    <w:rsid w:val="002A2B48"/>
    <w:rsid w:val="002A2FC8"/>
    <w:rsid w:val="002A3376"/>
    <w:rsid w:val="002A337A"/>
    <w:rsid w:val="002A488D"/>
    <w:rsid w:val="002A4FFB"/>
    <w:rsid w:val="002A5ED0"/>
    <w:rsid w:val="002B0140"/>
    <w:rsid w:val="002B1B46"/>
    <w:rsid w:val="002B1B9A"/>
    <w:rsid w:val="002B3356"/>
    <w:rsid w:val="002B3E47"/>
    <w:rsid w:val="002B5C89"/>
    <w:rsid w:val="002C1B36"/>
    <w:rsid w:val="002C1E4F"/>
    <w:rsid w:val="002C2E40"/>
    <w:rsid w:val="002C4656"/>
    <w:rsid w:val="002C7719"/>
    <w:rsid w:val="002D0B16"/>
    <w:rsid w:val="002D5433"/>
    <w:rsid w:val="002D59E7"/>
    <w:rsid w:val="002D71C8"/>
    <w:rsid w:val="002D7282"/>
    <w:rsid w:val="002E1C47"/>
    <w:rsid w:val="002E352A"/>
    <w:rsid w:val="002E52F7"/>
    <w:rsid w:val="002E5938"/>
    <w:rsid w:val="002E7289"/>
    <w:rsid w:val="002F25DB"/>
    <w:rsid w:val="002F4746"/>
    <w:rsid w:val="002F58F8"/>
    <w:rsid w:val="002F73D4"/>
    <w:rsid w:val="002F7CF3"/>
    <w:rsid w:val="00301ABC"/>
    <w:rsid w:val="00302092"/>
    <w:rsid w:val="00306455"/>
    <w:rsid w:val="00306E7E"/>
    <w:rsid w:val="003070EA"/>
    <w:rsid w:val="003078FA"/>
    <w:rsid w:val="003100DF"/>
    <w:rsid w:val="00310F8B"/>
    <w:rsid w:val="003139C0"/>
    <w:rsid w:val="00314450"/>
    <w:rsid w:val="003145AE"/>
    <w:rsid w:val="00314656"/>
    <w:rsid w:val="00317B44"/>
    <w:rsid w:val="0032211F"/>
    <w:rsid w:val="00322179"/>
    <w:rsid w:val="0032305F"/>
    <w:rsid w:val="003257DA"/>
    <w:rsid w:val="00330E80"/>
    <w:rsid w:val="003317A4"/>
    <w:rsid w:val="00331F2E"/>
    <w:rsid w:val="00333180"/>
    <w:rsid w:val="003332AF"/>
    <w:rsid w:val="003334DD"/>
    <w:rsid w:val="003369ED"/>
    <w:rsid w:val="00342ED1"/>
    <w:rsid w:val="003439C3"/>
    <w:rsid w:val="00347936"/>
    <w:rsid w:val="00347FE1"/>
    <w:rsid w:val="003511DE"/>
    <w:rsid w:val="0035177C"/>
    <w:rsid w:val="0035318E"/>
    <w:rsid w:val="00353470"/>
    <w:rsid w:val="00353E9C"/>
    <w:rsid w:val="00354048"/>
    <w:rsid w:val="003559EC"/>
    <w:rsid w:val="00355D96"/>
    <w:rsid w:val="00357C4E"/>
    <w:rsid w:val="00366CE5"/>
    <w:rsid w:val="00371EAC"/>
    <w:rsid w:val="0037461E"/>
    <w:rsid w:val="0037470F"/>
    <w:rsid w:val="003750B3"/>
    <w:rsid w:val="00375674"/>
    <w:rsid w:val="003758A4"/>
    <w:rsid w:val="00376C41"/>
    <w:rsid w:val="003804DF"/>
    <w:rsid w:val="0038114A"/>
    <w:rsid w:val="00383CEE"/>
    <w:rsid w:val="00386182"/>
    <w:rsid w:val="00386A41"/>
    <w:rsid w:val="00390D9A"/>
    <w:rsid w:val="003912D3"/>
    <w:rsid w:val="0039358B"/>
    <w:rsid w:val="00394AE4"/>
    <w:rsid w:val="003951A8"/>
    <w:rsid w:val="00397C01"/>
    <w:rsid w:val="003A15FC"/>
    <w:rsid w:val="003A2B31"/>
    <w:rsid w:val="003A44AF"/>
    <w:rsid w:val="003A498D"/>
    <w:rsid w:val="003A4CB2"/>
    <w:rsid w:val="003A63D2"/>
    <w:rsid w:val="003A641D"/>
    <w:rsid w:val="003A70E2"/>
    <w:rsid w:val="003B2826"/>
    <w:rsid w:val="003B3BA7"/>
    <w:rsid w:val="003B4063"/>
    <w:rsid w:val="003C350F"/>
    <w:rsid w:val="003C3828"/>
    <w:rsid w:val="003C45A1"/>
    <w:rsid w:val="003C4947"/>
    <w:rsid w:val="003C56C6"/>
    <w:rsid w:val="003C5FF4"/>
    <w:rsid w:val="003D16E1"/>
    <w:rsid w:val="003D1B53"/>
    <w:rsid w:val="003D1BC3"/>
    <w:rsid w:val="003D54F0"/>
    <w:rsid w:val="003D58FB"/>
    <w:rsid w:val="003D5CDE"/>
    <w:rsid w:val="003D637D"/>
    <w:rsid w:val="003D6E94"/>
    <w:rsid w:val="003D76C9"/>
    <w:rsid w:val="003D7F62"/>
    <w:rsid w:val="003E18ED"/>
    <w:rsid w:val="003E1B78"/>
    <w:rsid w:val="003E1BAD"/>
    <w:rsid w:val="003E1E7C"/>
    <w:rsid w:val="003E2904"/>
    <w:rsid w:val="003E3FED"/>
    <w:rsid w:val="003E63C5"/>
    <w:rsid w:val="003E66B1"/>
    <w:rsid w:val="003E7185"/>
    <w:rsid w:val="003F2562"/>
    <w:rsid w:val="003F479D"/>
    <w:rsid w:val="0040058D"/>
    <w:rsid w:val="00401192"/>
    <w:rsid w:val="00401890"/>
    <w:rsid w:val="00401CA1"/>
    <w:rsid w:val="004024E7"/>
    <w:rsid w:val="004079C4"/>
    <w:rsid w:val="00413C43"/>
    <w:rsid w:val="00414EA9"/>
    <w:rsid w:val="004215AA"/>
    <w:rsid w:val="00422C20"/>
    <w:rsid w:val="00424917"/>
    <w:rsid w:val="00425233"/>
    <w:rsid w:val="0042572C"/>
    <w:rsid w:val="00425B33"/>
    <w:rsid w:val="004275CB"/>
    <w:rsid w:val="004329D0"/>
    <w:rsid w:val="00433636"/>
    <w:rsid w:val="00435919"/>
    <w:rsid w:val="0044098E"/>
    <w:rsid w:val="00440B02"/>
    <w:rsid w:val="00442862"/>
    <w:rsid w:val="004448E7"/>
    <w:rsid w:val="00445475"/>
    <w:rsid w:val="00446E6F"/>
    <w:rsid w:val="00450247"/>
    <w:rsid w:val="004515C6"/>
    <w:rsid w:val="0045526F"/>
    <w:rsid w:val="00455498"/>
    <w:rsid w:val="00455C28"/>
    <w:rsid w:val="004609ED"/>
    <w:rsid w:val="00465133"/>
    <w:rsid w:val="004709D9"/>
    <w:rsid w:val="00470DAA"/>
    <w:rsid w:val="00471536"/>
    <w:rsid w:val="00471F2D"/>
    <w:rsid w:val="00472901"/>
    <w:rsid w:val="00473504"/>
    <w:rsid w:val="00473EF0"/>
    <w:rsid w:val="00474052"/>
    <w:rsid w:val="00474CA0"/>
    <w:rsid w:val="00476A5C"/>
    <w:rsid w:val="0047739B"/>
    <w:rsid w:val="00480A4C"/>
    <w:rsid w:val="00480D26"/>
    <w:rsid w:val="00480EE7"/>
    <w:rsid w:val="00481C34"/>
    <w:rsid w:val="0048215A"/>
    <w:rsid w:val="0048223F"/>
    <w:rsid w:val="00482748"/>
    <w:rsid w:val="00483A72"/>
    <w:rsid w:val="00484022"/>
    <w:rsid w:val="004858E2"/>
    <w:rsid w:val="00485EFC"/>
    <w:rsid w:val="00487EB4"/>
    <w:rsid w:val="004907F9"/>
    <w:rsid w:val="00492C7C"/>
    <w:rsid w:val="0049313F"/>
    <w:rsid w:val="0049578D"/>
    <w:rsid w:val="00496AB8"/>
    <w:rsid w:val="004A5A82"/>
    <w:rsid w:val="004A76D0"/>
    <w:rsid w:val="004B0697"/>
    <w:rsid w:val="004B102D"/>
    <w:rsid w:val="004B19EC"/>
    <w:rsid w:val="004B223C"/>
    <w:rsid w:val="004B29FE"/>
    <w:rsid w:val="004B6AE1"/>
    <w:rsid w:val="004B712F"/>
    <w:rsid w:val="004C3025"/>
    <w:rsid w:val="004C3F40"/>
    <w:rsid w:val="004C427D"/>
    <w:rsid w:val="004C635C"/>
    <w:rsid w:val="004C65E3"/>
    <w:rsid w:val="004C6896"/>
    <w:rsid w:val="004D0C4E"/>
    <w:rsid w:val="004D2303"/>
    <w:rsid w:val="004D2A9C"/>
    <w:rsid w:val="004D36EF"/>
    <w:rsid w:val="004D3E20"/>
    <w:rsid w:val="004D6E23"/>
    <w:rsid w:val="004D722F"/>
    <w:rsid w:val="004D75C9"/>
    <w:rsid w:val="004E183B"/>
    <w:rsid w:val="004E207A"/>
    <w:rsid w:val="004E236E"/>
    <w:rsid w:val="004E4463"/>
    <w:rsid w:val="004E5013"/>
    <w:rsid w:val="004E7F93"/>
    <w:rsid w:val="004F5013"/>
    <w:rsid w:val="004F60B7"/>
    <w:rsid w:val="004F6BD4"/>
    <w:rsid w:val="00500ED8"/>
    <w:rsid w:val="00500F1F"/>
    <w:rsid w:val="0050452D"/>
    <w:rsid w:val="00507F22"/>
    <w:rsid w:val="00510F63"/>
    <w:rsid w:val="0051423A"/>
    <w:rsid w:val="00515908"/>
    <w:rsid w:val="0051612B"/>
    <w:rsid w:val="00516991"/>
    <w:rsid w:val="00516B52"/>
    <w:rsid w:val="0052300B"/>
    <w:rsid w:val="00523644"/>
    <w:rsid w:val="00524148"/>
    <w:rsid w:val="00524703"/>
    <w:rsid w:val="005249D6"/>
    <w:rsid w:val="00526413"/>
    <w:rsid w:val="00526C9B"/>
    <w:rsid w:val="0052746B"/>
    <w:rsid w:val="0053021B"/>
    <w:rsid w:val="005308DD"/>
    <w:rsid w:val="00531DCF"/>
    <w:rsid w:val="005347AF"/>
    <w:rsid w:val="00534AEC"/>
    <w:rsid w:val="0054071E"/>
    <w:rsid w:val="0054274E"/>
    <w:rsid w:val="00542F33"/>
    <w:rsid w:val="0054581B"/>
    <w:rsid w:val="005462ED"/>
    <w:rsid w:val="00546823"/>
    <w:rsid w:val="00547056"/>
    <w:rsid w:val="00547432"/>
    <w:rsid w:val="00550F43"/>
    <w:rsid w:val="00553575"/>
    <w:rsid w:val="00557339"/>
    <w:rsid w:val="005574BA"/>
    <w:rsid w:val="00560F1C"/>
    <w:rsid w:val="00562C5D"/>
    <w:rsid w:val="00564261"/>
    <w:rsid w:val="005649C5"/>
    <w:rsid w:val="00566421"/>
    <w:rsid w:val="00566FD1"/>
    <w:rsid w:val="00572C88"/>
    <w:rsid w:val="005738FF"/>
    <w:rsid w:val="0057484A"/>
    <w:rsid w:val="00581069"/>
    <w:rsid w:val="00582D3F"/>
    <w:rsid w:val="005849CE"/>
    <w:rsid w:val="00585CAC"/>
    <w:rsid w:val="00586426"/>
    <w:rsid w:val="0058746B"/>
    <w:rsid w:val="00587A2D"/>
    <w:rsid w:val="0059315E"/>
    <w:rsid w:val="00593661"/>
    <w:rsid w:val="00593A42"/>
    <w:rsid w:val="00597DDD"/>
    <w:rsid w:val="005A4A90"/>
    <w:rsid w:val="005A5F3C"/>
    <w:rsid w:val="005B0407"/>
    <w:rsid w:val="005B25DF"/>
    <w:rsid w:val="005B3633"/>
    <w:rsid w:val="005B3F37"/>
    <w:rsid w:val="005B5D76"/>
    <w:rsid w:val="005B62F0"/>
    <w:rsid w:val="005B6CD4"/>
    <w:rsid w:val="005C0898"/>
    <w:rsid w:val="005C2BBC"/>
    <w:rsid w:val="005C3C1D"/>
    <w:rsid w:val="005C5039"/>
    <w:rsid w:val="005C5F5D"/>
    <w:rsid w:val="005C642B"/>
    <w:rsid w:val="005C7A5D"/>
    <w:rsid w:val="005D2CF3"/>
    <w:rsid w:val="005D310B"/>
    <w:rsid w:val="005D4F3C"/>
    <w:rsid w:val="005D5410"/>
    <w:rsid w:val="005E0260"/>
    <w:rsid w:val="005E135E"/>
    <w:rsid w:val="005E3988"/>
    <w:rsid w:val="005E40F6"/>
    <w:rsid w:val="005E5019"/>
    <w:rsid w:val="005E5902"/>
    <w:rsid w:val="005F1770"/>
    <w:rsid w:val="005F3325"/>
    <w:rsid w:val="005F3EFB"/>
    <w:rsid w:val="005F41B5"/>
    <w:rsid w:val="005F48A3"/>
    <w:rsid w:val="005F499C"/>
    <w:rsid w:val="005F4C25"/>
    <w:rsid w:val="00601ED5"/>
    <w:rsid w:val="006036A2"/>
    <w:rsid w:val="00605F61"/>
    <w:rsid w:val="0060799C"/>
    <w:rsid w:val="006108D0"/>
    <w:rsid w:val="00611D54"/>
    <w:rsid w:val="00614BFD"/>
    <w:rsid w:val="00616D1A"/>
    <w:rsid w:val="00624675"/>
    <w:rsid w:val="00624A9D"/>
    <w:rsid w:val="006254E6"/>
    <w:rsid w:val="00626798"/>
    <w:rsid w:val="00627229"/>
    <w:rsid w:val="006311E3"/>
    <w:rsid w:val="00631C8D"/>
    <w:rsid w:val="00632E23"/>
    <w:rsid w:val="00636791"/>
    <w:rsid w:val="006445A8"/>
    <w:rsid w:val="00647148"/>
    <w:rsid w:val="00647701"/>
    <w:rsid w:val="00647A91"/>
    <w:rsid w:val="00647CBF"/>
    <w:rsid w:val="00647F87"/>
    <w:rsid w:val="006502EA"/>
    <w:rsid w:val="006505B9"/>
    <w:rsid w:val="00650F77"/>
    <w:rsid w:val="00651945"/>
    <w:rsid w:val="00652E82"/>
    <w:rsid w:val="00654575"/>
    <w:rsid w:val="00655293"/>
    <w:rsid w:val="006564C8"/>
    <w:rsid w:val="0065728C"/>
    <w:rsid w:val="00657414"/>
    <w:rsid w:val="006636ED"/>
    <w:rsid w:val="00663718"/>
    <w:rsid w:val="0066468D"/>
    <w:rsid w:val="00665318"/>
    <w:rsid w:val="006660C2"/>
    <w:rsid w:val="00672C9E"/>
    <w:rsid w:val="00673703"/>
    <w:rsid w:val="00673864"/>
    <w:rsid w:val="00676725"/>
    <w:rsid w:val="00682E11"/>
    <w:rsid w:val="00684325"/>
    <w:rsid w:val="00685A93"/>
    <w:rsid w:val="006861D7"/>
    <w:rsid w:val="006876D8"/>
    <w:rsid w:val="00687AF7"/>
    <w:rsid w:val="006910A0"/>
    <w:rsid w:val="00692BDF"/>
    <w:rsid w:val="006937BC"/>
    <w:rsid w:val="006957CC"/>
    <w:rsid w:val="00696B20"/>
    <w:rsid w:val="00697269"/>
    <w:rsid w:val="006A00B5"/>
    <w:rsid w:val="006A34D3"/>
    <w:rsid w:val="006A647B"/>
    <w:rsid w:val="006A7606"/>
    <w:rsid w:val="006B0B58"/>
    <w:rsid w:val="006B0BC6"/>
    <w:rsid w:val="006B1BFA"/>
    <w:rsid w:val="006B2495"/>
    <w:rsid w:val="006B4103"/>
    <w:rsid w:val="006B7946"/>
    <w:rsid w:val="006B7F1D"/>
    <w:rsid w:val="006C4471"/>
    <w:rsid w:val="006C4BE9"/>
    <w:rsid w:val="006C64DA"/>
    <w:rsid w:val="006C75DD"/>
    <w:rsid w:val="006D047A"/>
    <w:rsid w:val="006D0FAA"/>
    <w:rsid w:val="006D2E8A"/>
    <w:rsid w:val="006D4497"/>
    <w:rsid w:val="006D4984"/>
    <w:rsid w:val="006D52F2"/>
    <w:rsid w:val="006D5A75"/>
    <w:rsid w:val="006D6982"/>
    <w:rsid w:val="006D700F"/>
    <w:rsid w:val="006E0BDE"/>
    <w:rsid w:val="006E296B"/>
    <w:rsid w:val="006E3290"/>
    <w:rsid w:val="006E4AB2"/>
    <w:rsid w:val="006E6B6C"/>
    <w:rsid w:val="006E71B7"/>
    <w:rsid w:val="006F0838"/>
    <w:rsid w:val="006F1533"/>
    <w:rsid w:val="006F686F"/>
    <w:rsid w:val="006F722E"/>
    <w:rsid w:val="006F79E7"/>
    <w:rsid w:val="00700B39"/>
    <w:rsid w:val="0070376C"/>
    <w:rsid w:val="00703D85"/>
    <w:rsid w:val="00707203"/>
    <w:rsid w:val="0071087C"/>
    <w:rsid w:val="00711A55"/>
    <w:rsid w:val="00711E2C"/>
    <w:rsid w:val="007145A5"/>
    <w:rsid w:val="00714CD2"/>
    <w:rsid w:val="007159A5"/>
    <w:rsid w:val="00715DBC"/>
    <w:rsid w:val="00717BBF"/>
    <w:rsid w:val="00720006"/>
    <w:rsid w:val="007208A3"/>
    <w:rsid w:val="00721C45"/>
    <w:rsid w:val="0072383D"/>
    <w:rsid w:val="007241C3"/>
    <w:rsid w:val="00725B17"/>
    <w:rsid w:val="007315ED"/>
    <w:rsid w:val="007321B0"/>
    <w:rsid w:val="00732F38"/>
    <w:rsid w:val="00734363"/>
    <w:rsid w:val="00735E65"/>
    <w:rsid w:val="00736BF4"/>
    <w:rsid w:val="0073757E"/>
    <w:rsid w:val="00742F83"/>
    <w:rsid w:val="00743813"/>
    <w:rsid w:val="00743BB6"/>
    <w:rsid w:val="00744CFC"/>
    <w:rsid w:val="00745226"/>
    <w:rsid w:val="00745555"/>
    <w:rsid w:val="00746620"/>
    <w:rsid w:val="00747569"/>
    <w:rsid w:val="00751591"/>
    <w:rsid w:val="00753338"/>
    <w:rsid w:val="00753F0F"/>
    <w:rsid w:val="00754865"/>
    <w:rsid w:val="007555CD"/>
    <w:rsid w:val="00757F53"/>
    <w:rsid w:val="00761B09"/>
    <w:rsid w:val="0076352C"/>
    <w:rsid w:val="007639F4"/>
    <w:rsid w:val="007652E1"/>
    <w:rsid w:val="007659B3"/>
    <w:rsid w:val="00766537"/>
    <w:rsid w:val="00766CDD"/>
    <w:rsid w:val="0077097B"/>
    <w:rsid w:val="007715D2"/>
    <w:rsid w:val="00771A1D"/>
    <w:rsid w:val="00773FF4"/>
    <w:rsid w:val="00775132"/>
    <w:rsid w:val="00775BC4"/>
    <w:rsid w:val="00776B29"/>
    <w:rsid w:val="00776EE5"/>
    <w:rsid w:val="00777017"/>
    <w:rsid w:val="00777483"/>
    <w:rsid w:val="00777E4E"/>
    <w:rsid w:val="00780434"/>
    <w:rsid w:val="00781D3E"/>
    <w:rsid w:val="007820BC"/>
    <w:rsid w:val="00784160"/>
    <w:rsid w:val="007855A4"/>
    <w:rsid w:val="007908ED"/>
    <w:rsid w:val="0079098C"/>
    <w:rsid w:val="0079164A"/>
    <w:rsid w:val="00794F30"/>
    <w:rsid w:val="0079631C"/>
    <w:rsid w:val="00796925"/>
    <w:rsid w:val="00796B22"/>
    <w:rsid w:val="007A17E1"/>
    <w:rsid w:val="007A1B17"/>
    <w:rsid w:val="007A3BB2"/>
    <w:rsid w:val="007A3DB1"/>
    <w:rsid w:val="007A44F8"/>
    <w:rsid w:val="007A4590"/>
    <w:rsid w:val="007A5E2B"/>
    <w:rsid w:val="007A5F18"/>
    <w:rsid w:val="007A6208"/>
    <w:rsid w:val="007A6A83"/>
    <w:rsid w:val="007A6D33"/>
    <w:rsid w:val="007A7124"/>
    <w:rsid w:val="007B0FCA"/>
    <w:rsid w:val="007B1915"/>
    <w:rsid w:val="007B2426"/>
    <w:rsid w:val="007B24B1"/>
    <w:rsid w:val="007B2DAF"/>
    <w:rsid w:val="007B370E"/>
    <w:rsid w:val="007B44DD"/>
    <w:rsid w:val="007B4B50"/>
    <w:rsid w:val="007B4F67"/>
    <w:rsid w:val="007B5774"/>
    <w:rsid w:val="007C0719"/>
    <w:rsid w:val="007C1FBA"/>
    <w:rsid w:val="007C2677"/>
    <w:rsid w:val="007C2CEF"/>
    <w:rsid w:val="007C2F7C"/>
    <w:rsid w:val="007C2FFE"/>
    <w:rsid w:val="007C32B5"/>
    <w:rsid w:val="007C4006"/>
    <w:rsid w:val="007C44AA"/>
    <w:rsid w:val="007C7540"/>
    <w:rsid w:val="007D14ED"/>
    <w:rsid w:val="007D1B9F"/>
    <w:rsid w:val="007D2451"/>
    <w:rsid w:val="007D48AC"/>
    <w:rsid w:val="007E188E"/>
    <w:rsid w:val="007E3D83"/>
    <w:rsid w:val="007E3ED4"/>
    <w:rsid w:val="007E4E71"/>
    <w:rsid w:val="007E4EFF"/>
    <w:rsid w:val="007E6097"/>
    <w:rsid w:val="007E7245"/>
    <w:rsid w:val="007E7594"/>
    <w:rsid w:val="007F00D1"/>
    <w:rsid w:val="007F083B"/>
    <w:rsid w:val="007F50B4"/>
    <w:rsid w:val="007F5FE6"/>
    <w:rsid w:val="00801642"/>
    <w:rsid w:val="00802A9E"/>
    <w:rsid w:val="00802C45"/>
    <w:rsid w:val="0080499C"/>
    <w:rsid w:val="00805633"/>
    <w:rsid w:val="00806266"/>
    <w:rsid w:val="0080718C"/>
    <w:rsid w:val="00807654"/>
    <w:rsid w:val="0080788B"/>
    <w:rsid w:val="00811821"/>
    <w:rsid w:val="00812AF1"/>
    <w:rsid w:val="00817085"/>
    <w:rsid w:val="00817C2C"/>
    <w:rsid w:val="00821F83"/>
    <w:rsid w:val="0082486E"/>
    <w:rsid w:val="00824EEA"/>
    <w:rsid w:val="0082636F"/>
    <w:rsid w:val="00826459"/>
    <w:rsid w:val="008311E6"/>
    <w:rsid w:val="00831306"/>
    <w:rsid w:val="00831DA5"/>
    <w:rsid w:val="00832BD9"/>
    <w:rsid w:val="008336AF"/>
    <w:rsid w:val="008350A3"/>
    <w:rsid w:val="0083719F"/>
    <w:rsid w:val="00843EA6"/>
    <w:rsid w:val="008443A8"/>
    <w:rsid w:val="008452B9"/>
    <w:rsid w:val="00846C6C"/>
    <w:rsid w:val="00852CF6"/>
    <w:rsid w:val="00852F66"/>
    <w:rsid w:val="0085410D"/>
    <w:rsid w:val="0085537A"/>
    <w:rsid w:val="008555EA"/>
    <w:rsid w:val="008577B7"/>
    <w:rsid w:val="00860900"/>
    <w:rsid w:val="008611C5"/>
    <w:rsid w:val="00861245"/>
    <w:rsid w:val="0086333A"/>
    <w:rsid w:val="00867627"/>
    <w:rsid w:val="00870118"/>
    <w:rsid w:val="00870507"/>
    <w:rsid w:val="008714C1"/>
    <w:rsid w:val="0087154E"/>
    <w:rsid w:val="00871BEC"/>
    <w:rsid w:val="00874E9A"/>
    <w:rsid w:val="008768FE"/>
    <w:rsid w:val="008826A4"/>
    <w:rsid w:val="00882D61"/>
    <w:rsid w:val="00885171"/>
    <w:rsid w:val="0088523F"/>
    <w:rsid w:val="00885A54"/>
    <w:rsid w:val="00885ED6"/>
    <w:rsid w:val="00887A45"/>
    <w:rsid w:val="008923E2"/>
    <w:rsid w:val="00892C05"/>
    <w:rsid w:val="008954E3"/>
    <w:rsid w:val="00896B77"/>
    <w:rsid w:val="00897C5A"/>
    <w:rsid w:val="00897C6A"/>
    <w:rsid w:val="008A02C1"/>
    <w:rsid w:val="008A3340"/>
    <w:rsid w:val="008A580C"/>
    <w:rsid w:val="008A5D47"/>
    <w:rsid w:val="008A6CC9"/>
    <w:rsid w:val="008A6F2C"/>
    <w:rsid w:val="008A7C9C"/>
    <w:rsid w:val="008B12B7"/>
    <w:rsid w:val="008B1604"/>
    <w:rsid w:val="008B3335"/>
    <w:rsid w:val="008B643E"/>
    <w:rsid w:val="008B6AFF"/>
    <w:rsid w:val="008B770F"/>
    <w:rsid w:val="008B787C"/>
    <w:rsid w:val="008C0DD3"/>
    <w:rsid w:val="008C1CEC"/>
    <w:rsid w:val="008C424D"/>
    <w:rsid w:val="008C5935"/>
    <w:rsid w:val="008C751A"/>
    <w:rsid w:val="008C7729"/>
    <w:rsid w:val="008C7D71"/>
    <w:rsid w:val="008C7F87"/>
    <w:rsid w:val="008D0784"/>
    <w:rsid w:val="008D2B39"/>
    <w:rsid w:val="008D2B72"/>
    <w:rsid w:val="008D2CAC"/>
    <w:rsid w:val="008D4FF0"/>
    <w:rsid w:val="008D5849"/>
    <w:rsid w:val="008D6773"/>
    <w:rsid w:val="008E1E8A"/>
    <w:rsid w:val="008E4F54"/>
    <w:rsid w:val="008E62ED"/>
    <w:rsid w:val="008E695A"/>
    <w:rsid w:val="008E6D59"/>
    <w:rsid w:val="008E6FD1"/>
    <w:rsid w:val="008E73E0"/>
    <w:rsid w:val="008F06C0"/>
    <w:rsid w:val="008F5E99"/>
    <w:rsid w:val="008F6310"/>
    <w:rsid w:val="008F6B69"/>
    <w:rsid w:val="008F79CC"/>
    <w:rsid w:val="00900B3B"/>
    <w:rsid w:val="00900CAB"/>
    <w:rsid w:val="00900CD3"/>
    <w:rsid w:val="0091264D"/>
    <w:rsid w:val="0091293F"/>
    <w:rsid w:val="00913153"/>
    <w:rsid w:val="009142F6"/>
    <w:rsid w:val="00914E05"/>
    <w:rsid w:val="00915DC7"/>
    <w:rsid w:val="009163DB"/>
    <w:rsid w:val="009166AE"/>
    <w:rsid w:val="00917C2B"/>
    <w:rsid w:val="00920C62"/>
    <w:rsid w:val="009237FF"/>
    <w:rsid w:val="00923F1E"/>
    <w:rsid w:val="00924D3C"/>
    <w:rsid w:val="00926397"/>
    <w:rsid w:val="00926830"/>
    <w:rsid w:val="00927408"/>
    <w:rsid w:val="00927DB9"/>
    <w:rsid w:val="00930ADA"/>
    <w:rsid w:val="00931CFD"/>
    <w:rsid w:val="00935473"/>
    <w:rsid w:val="00940702"/>
    <w:rsid w:val="0094089B"/>
    <w:rsid w:val="0094258C"/>
    <w:rsid w:val="00944DA8"/>
    <w:rsid w:val="00945763"/>
    <w:rsid w:val="009459F9"/>
    <w:rsid w:val="009460CE"/>
    <w:rsid w:val="00946DF2"/>
    <w:rsid w:val="009511A5"/>
    <w:rsid w:val="009516C6"/>
    <w:rsid w:val="00952BC8"/>
    <w:rsid w:val="0095483B"/>
    <w:rsid w:val="00957715"/>
    <w:rsid w:val="00957E6F"/>
    <w:rsid w:val="0096193A"/>
    <w:rsid w:val="00961D3A"/>
    <w:rsid w:val="00963B51"/>
    <w:rsid w:val="0096541D"/>
    <w:rsid w:val="009705C5"/>
    <w:rsid w:val="009714ED"/>
    <w:rsid w:val="00972CCA"/>
    <w:rsid w:val="0097404C"/>
    <w:rsid w:val="00974AE2"/>
    <w:rsid w:val="0097500A"/>
    <w:rsid w:val="00977079"/>
    <w:rsid w:val="00977DFE"/>
    <w:rsid w:val="00980723"/>
    <w:rsid w:val="00980FF1"/>
    <w:rsid w:val="00982550"/>
    <w:rsid w:val="00984046"/>
    <w:rsid w:val="00984B68"/>
    <w:rsid w:val="00984D20"/>
    <w:rsid w:val="00984FFB"/>
    <w:rsid w:val="0099077A"/>
    <w:rsid w:val="009920F2"/>
    <w:rsid w:val="009928F3"/>
    <w:rsid w:val="0099395D"/>
    <w:rsid w:val="00995143"/>
    <w:rsid w:val="00996050"/>
    <w:rsid w:val="009A1E59"/>
    <w:rsid w:val="009A2582"/>
    <w:rsid w:val="009A326A"/>
    <w:rsid w:val="009A55A2"/>
    <w:rsid w:val="009A58B6"/>
    <w:rsid w:val="009A5A11"/>
    <w:rsid w:val="009B48DA"/>
    <w:rsid w:val="009B4BF6"/>
    <w:rsid w:val="009B503F"/>
    <w:rsid w:val="009B51ED"/>
    <w:rsid w:val="009B5886"/>
    <w:rsid w:val="009B5E7A"/>
    <w:rsid w:val="009B75BE"/>
    <w:rsid w:val="009B7AE5"/>
    <w:rsid w:val="009C1F42"/>
    <w:rsid w:val="009C26E4"/>
    <w:rsid w:val="009C31E4"/>
    <w:rsid w:val="009C7298"/>
    <w:rsid w:val="009C758D"/>
    <w:rsid w:val="009C7F6B"/>
    <w:rsid w:val="009D03B6"/>
    <w:rsid w:val="009D07B7"/>
    <w:rsid w:val="009D13A7"/>
    <w:rsid w:val="009D25F1"/>
    <w:rsid w:val="009D31E9"/>
    <w:rsid w:val="009E0308"/>
    <w:rsid w:val="009E0510"/>
    <w:rsid w:val="009E0CDC"/>
    <w:rsid w:val="009E2AE9"/>
    <w:rsid w:val="009E6644"/>
    <w:rsid w:val="009F1415"/>
    <w:rsid w:val="009F1997"/>
    <w:rsid w:val="009F25C2"/>
    <w:rsid w:val="009F3088"/>
    <w:rsid w:val="009F6DCF"/>
    <w:rsid w:val="00A004BB"/>
    <w:rsid w:val="00A029D3"/>
    <w:rsid w:val="00A040F4"/>
    <w:rsid w:val="00A0420D"/>
    <w:rsid w:val="00A04DC9"/>
    <w:rsid w:val="00A054D4"/>
    <w:rsid w:val="00A05E37"/>
    <w:rsid w:val="00A06642"/>
    <w:rsid w:val="00A06F48"/>
    <w:rsid w:val="00A07CC6"/>
    <w:rsid w:val="00A108D9"/>
    <w:rsid w:val="00A135CF"/>
    <w:rsid w:val="00A13AD6"/>
    <w:rsid w:val="00A13D83"/>
    <w:rsid w:val="00A1460D"/>
    <w:rsid w:val="00A14B11"/>
    <w:rsid w:val="00A1522D"/>
    <w:rsid w:val="00A157DD"/>
    <w:rsid w:val="00A15A05"/>
    <w:rsid w:val="00A15E0E"/>
    <w:rsid w:val="00A173C5"/>
    <w:rsid w:val="00A20FA2"/>
    <w:rsid w:val="00A220EC"/>
    <w:rsid w:val="00A22EF7"/>
    <w:rsid w:val="00A23649"/>
    <w:rsid w:val="00A23AB6"/>
    <w:rsid w:val="00A26C40"/>
    <w:rsid w:val="00A26E64"/>
    <w:rsid w:val="00A27964"/>
    <w:rsid w:val="00A306F4"/>
    <w:rsid w:val="00A30BAD"/>
    <w:rsid w:val="00A30E56"/>
    <w:rsid w:val="00A31A86"/>
    <w:rsid w:val="00A335FD"/>
    <w:rsid w:val="00A35B32"/>
    <w:rsid w:val="00A40E06"/>
    <w:rsid w:val="00A420BF"/>
    <w:rsid w:val="00A42278"/>
    <w:rsid w:val="00A43F61"/>
    <w:rsid w:val="00A45823"/>
    <w:rsid w:val="00A502F5"/>
    <w:rsid w:val="00A51C37"/>
    <w:rsid w:val="00A51EEC"/>
    <w:rsid w:val="00A558BD"/>
    <w:rsid w:val="00A562BA"/>
    <w:rsid w:val="00A56420"/>
    <w:rsid w:val="00A56E6D"/>
    <w:rsid w:val="00A616D0"/>
    <w:rsid w:val="00A62A7B"/>
    <w:rsid w:val="00A63473"/>
    <w:rsid w:val="00A63E6F"/>
    <w:rsid w:val="00A65C4C"/>
    <w:rsid w:val="00A703B6"/>
    <w:rsid w:val="00A7078A"/>
    <w:rsid w:val="00A76092"/>
    <w:rsid w:val="00A7738B"/>
    <w:rsid w:val="00A803A2"/>
    <w:rsid w:val="00A8350B"/>
    <w:rsid w:val="00A85911"/>
    <w:rsid w:val="00A86FA2"/>
    <w:rsid w:val="00A92F49"/>
    <w:rsid w:val="00A93C37"/>
    <w:rsid w:val="00AA19E7"/>
    <w:rsid w:val="00AA3530"/>
    <w:rsid w:val="00AA3811"/>
    <w:rsid w:val="00AA4DDB"/>
    <w:rsid w:val="00AA4DE7"/>
    <w:rsid w:val="00AA4FA2"/>
    <w:rsid w:val="00AA5EF7"/>
    <w:rsid w:val="00AA6481"/>
    <w:rsid w:val="00AA6943"/>
    <w:rsid w:val="00AA6FA0"/>
    <w:rsid w:val="00AA76C9"/>
    <w:rsid w:val="00AB0211"/>
    <w:rsid w:val="00AB0702"/>
    <w:rsid w:val="00AB08D5"/>
    <w:rsid w:val="00AB2B28"/>
    <w:rsid w:val="00AB2B2F"/>
    <w:rsid w:val="00AB7506"/>
    <w:rsid w:val="00AC2BEE"/>
    <w:rsid w:val="00AC3763"/>
    <w:rsid w:val="00AC48B5"/>
    <w:rsid w:val="00AC6378"/>
    <w:rsid w:val="00AC76AB"/>
    <w:rsid w:val="00AC7F72"/>
    <w:rsid w:val="00AD2650"/>
    <w:rsid w:val="00AD3672"/>
    <w:rsid w:val="00AD46C6"/>
    <w:rsid w:val="00AD5DA1"/>
    <w:rsid w:val="00AD7BFA"/>
    <w:rsid w:val="00AE29DC"/>
    <w:rsid w:val="00AE2AB5"/>
    <w:rsid w:val="00AE2E65"/>
    <w:rsid w:val="00AF1221"/>
    <w:rsid w:val="00AF1F33"/>
    <w:rsid w:val="00AF341D"/>
    <w:rsid w:val="00AF4D9B"/>
    <w:rsid w:val="00AF6CBA"/>
    <w:rsid w:val="00AF6F18"/>
    <w:rsid w:val="00B0086D"/>
    <w:rsid w:val="00B0143E"/>
    <w:rsid w:val="00B0220A"/>
    <w:rsid w:val="00B03001"/>
    <w:rsid w:val="00B03489"/>
    <w:rsid w:val="00B04502"/>
    <w:rsid w:val="00B07845"/>
    <w:rsid w:val="00B107F8"/>
    <w:rsid w:val="00B137A2"/>
    <w:rsid w:val="00B15367"/>
    <w:rsid w:val="00B153C7"/>
    <w:rsid w:val="00B15AB1"/>
    <w:rsid w:val="00B16654"/>
    <w:rsid w:val="00B200FD"/>
    <w:rsid w:val="00B214A4"/>
    <w:rsid w:val="00B22D21"/>
    <w:rsid w:val="00B22FBF"/>
    <w:rsid w:val="00B30044"/>
    <w:rsid w:val="00B30DDD"/>
    <w:rsid w:val="00B30E5D"/>
    <w:rsid w:val="00B31B24"/>
    <w:rsid w:val="00B34C47"/>
    <w:rsid w:val="00B3669B"/>
    <w:rsid w:val="00B37221"/>
    <w:rsid w:val="00B402B5"/>
    <w:rsid w:val="00B42A62"/>
    <w:rsid w:val="00B456A9"/>
    <w:rsid w:val="00B4574F"/>
    <w:rsid w:val="00B468B6"/>
    <w:rsid w:val="00B470DE"/>
    <w:rsid w:val="00B478A0"/>
    <w:rsid w:val="00B5245D"/>
    <w:rsid w:val="00B53E4E"/>
    <w:rsid w:val="00B55509"/>
    <w:rsid w:val="00B56484"/>
    <w:rsid w:val="00B5681F"/>
    <w:rsid w:val="00B57C80"/>
    <w:rsid w:val="00B57E57"/>
    <w:rsid w:val="00B6080A"/>
    <w:rsid w:val="00B61DD9"/>
    <w:rsid w:val="00B62704"/>
    <w:rsid w:val="00B64FCB"/>
    <w:rsid w:val="00B665E2"/>
    <w:rsid w:val="00B70427"/>
    <w:rsid w:val="00B70E1A"/>
    <w:rsid w:val="00B7376B"/>
    <w:rsid w:val="00B746C1"/>
    <w:rsid w:val="00B74C3B"/>
    <w:rsid w:val="00B7508B"/>
    <w:rsid w:val="00B813E6"/>
    <w:rsid w:val="00B81C24"/>
    <w:rsid w:val="00B82B46"/>
    <w:rsid w:val="00B82DDD"/>
    <w:rsid w:val="00B84487"/>
    <w:rsid w:val="00B84E06"/>
    <w:rsid w:val="00B873E3"/>
    <w:rsid w:val="00B8754C"/>
    <w:rsid w:val="00B90129"/>
    <w:rsid w:val="00B91F35"/>
    <w:rsid w:val="00B92CDA"/>
    <w:rsid w:val="00B94159"/>
    <w:rsid w:val="00B95FC3"/>
    <w:rsid w:val="00B96BAF"/>
    <w:rsid w:val="00B970D3"/>
    <w:rsid w:val="00BA0810"/>
    <w:rsid w:val="00BA0F2A"/>
    <w:rsid w:val="00BA1DC2"/>
    <w:rsid w:val="00BA2C48"/>
    <w:rsid w:val="00BA3F2D"/>
    <w:rsid w:val="00BA3FD8"/>
    <w:rsid w:val="00BA4993"/>
    <w:rsid w:val="00BA4E84"/>
    <w:rsid w:val="00BA6398"/>
    <w:rsid w:val="00BA71CB"/>
    <w:rsid w:val="00BB0323"/>
    <w:rsid w:val="00BB28D5"/>
    <w:rsid w:val="00BB34AE"/>
    <w:rsid w:val="00BB361C"/>
    <w:rsid w:val="00BB5FB2"/>
    <w:rsid w:val="00BB7B78"/>
    <w:rsid w:val="00BC14DF"/>
    <w:rsid w:val="00BC25BC"/>
    <w:rsid w:val="00BC52FF"/>
    <w:rsid w:val="00BC64A0"/>
    <w:rsid w:val="00BD08B8"/>
    <w:rsid w:val="00BD1B20"/>
    <w:rsid w:val="00BD35FB"/>
    <w:rsid w:val="00BD3F98"/>
    <w:rsid w:val="00BD644A"/>
    <w:rsid w:val="00BD656B"/>
    <w:rsid w:val="00BE1398"/>
    <w:rsid w:val="00BE1C9A"/>
    <w:rsid w:val="00BE21A8"/>
    <w:rsid w:val="00BE37EE"/>
    <w:rsid w:val="00BF0FCA"/>
    <w:rsid w:val="00BF356F"/>
    <w:rsid w:val="00BF5678"/>
    <w:rsid w:val="00BF60EC"/>
    <w:rsid w:val="00BF636E"/>
    <w:rsid w:val="00BF6620"/>
    <w:rsid w:val="00C02B0D"/>
    <w:rsid w:val="00C04F93"/>
    <w:rsid w:val="00C0597A"/>
    <w:rsid w:val="00C06909"/>
    <w:rsid w:val="00C069B7"/>
    <w:rsid w:val="00C11012"/>
    <w:rsid w:val="00C1109E"/>
    <w:rsid w:val="00C12EA1"/>
    <w:rsid w:val="00C13081"/>
    <w:rsid w:val="00C1319E"/>
    <w:rsid w:val="00C134B7"/>
    <w:rsid w:val="00C13580"/>
    <w:rsid w:val="00C157FB"/>
    <w:rsid w:val="00C15ED6"/>
    <w:rsid w:val="00C160AF"/>
    <w:rsid w:val="00C17E98"/>
    <w:rsid w:val="00C20411"/>
    <w:rsid w:val="00C206A8"/>
    <w:rsid w:val="00C20CF8"/>
    <w:rsid w:val="00C219BB"/>
    <w:rsid w:val="00C2268A"/>
    <w:rsid w:val="00C22BB2"/>
    <w:rsid w:val="00C23339"/>
    <w:rsid w:val="00C23419"/>
    <w:rsid w:val="00C235ED"/>
    <w:rsid w:val="00C24FEA"/>
    <w:rsid w:val="00C26336"/>
    <w:rsid w:val="00C26B17"/>
    <w:rsid w:val="00C27F50"/>
    <w:rsid w:val="00C35EF8"/>
    <w:rsid w:val="00C36124"/>
    <w:rsid w:val="00C40F1B"/>
    <w:rsid w:val="00C445BA"/>
    <w:rsid w:val="00C4513E"/>
    <w:rsid w:val="00C4742C"/>
    <w:rsid w:val="00C47C93"/>
    <w:rsid w:val="00C50934"/>
    <w:rsid w:val="00C50DED"/>
    <w:rsid w:val="00C5154B"/>
    <w:rsid w:val="00C522E0"/>
    <w:rsid w:val="00C554FA"/>
    <w:rsid w:val="00C55CEE"/>
    <w:rsid w:val="00C56170"/>
    <w:rsid w:val="00C6200A"/>
    <w:rsid w:val="00C62AE0"/>
    <w:rsid w:val="00C66016"/>
    <w:rsid w:val="00C679AC"/>
    <w:rsid w:val="00C71AD8"/>
    <w:rsid w:val="00C71D2C"/>
    <w:rsid w:val="00C72670"/>
    <w:rsid w:val="00C72694"/>
    <w:rsid w:val="00C7458D"/>
    <w:rsid w:val="00C74717"/>
    <w:rsid w:val="00C749FF"/>
    <w:rsid w:val="00C760B6"/>
    <w:rsid w:val="00C7732E"/>
    <w:rsid w:val="00C8583E"/>
    <w:rsid w:val="00C866AD"/>
    <w:rsid w:val="00C86DB0"/>
    <w:rsid w:val="00C91DE8"/>
    <w:rsid w:val="00C931FF"/>
    <w:rsid w:val="00C93401"/>
    <w:rsid w:val="00C9460C"/>
    <w:rsid w:val="00C94989"/>
    <w:rsid w:val="00C9515B"/>
    <w:rsid w:val="00C95999"/>
    <w:rsid w:val="00C96935"/>
    <w:rsid w:val="00C9762B"/>
    <w:rsid w:val="00C97648"/>
    <w:rsid w:val="00CA1E9C"/>
    <w:rsid w:val="00CA3B6E"/>
    <w:rsid w:val="00CA4A47"/>
    <w:rsid w:val="00CA6614"/>
    <w:rsid w:val="00CA6A4E"/>
    <w:rsid w:val="00CA75CE"/>
    <w:rsid w:val="00CB19EA"/>
    <w:rsid w:val="00CB1DF5"/>
    <w:rsid w:val="00CB2838"/>
    <w:rsid w:val="00CB3217"/>
    <w:rsid w:val="00CB38A4"/>
    <w:rsid w:val="00CB4A03"/>
    <w:rsid w:val="00CB4BF8"/>
    <w:rsid w:val="00CB5275"/>
    <w:rsid w:val="00CB709C"/>
    <w:rsid w:val="00CB7346"/>
    <w:rsid w:val="00CB7690"/>
    <w:rsid w:val="00CB7E04"/>
    <w:rsid w:val="00CC030C"/>
    <w:rsid w:val="00CC0928"/>
    <w:rsid w:val="00CC2B23"/>
    <w:rsid w:val="00CC6015"/>
    <w:rsid w:val="00CC73BD"/>
    <w:rsid w:val="00CC78F7"/>
    <w:rsid w:val="00CD08E1"/>
    <w:rsid w:val="00CD0EE0"/>
    <w:rsid w:val="00CD2EE0"/>
    <w:rsid w:val="00CD3375"/>
    <w:rsid w:val="00CD459E"/>
    <w:rsid w:val="00CD4E03"/>
    <w:rsid w:val="00CD7430"/>
    <w:rsid w:val="00CE0409"/>
    <w:rsid w:val="00CE08A8"/>
    <w:rsid w:val="00CE0B3C"/>
    <w:rsid w:val="00CE3554"/>
    <w:rsid w:val="00CE46A2"/>
    <w:rsid w:val="00CE5CC9"/>
    <w:rsid w:val="00CE64A3"/>
    <w:rsid w:val="00CF0392"/>
    <w:rsid w:val="00CF0D91"/>
    <w:rsid w:val="00CF25D0"/>
    <w:rsid w:val="00CF27C4"/>
    <w:rsid w:val="00CF2F06"/>
    <w:rsid w:val="00CF3362"/>
    <w:rsid w:val="00CF41D6"/>
    <w:rsid w:val="00CF44A7"/>
    <w:rsid w:val="00CF498B"/>
    <w:rsid w:val="00CF4E27"/>
    <w:rsid w:val="00CF6326"/>
    <w:rsid w:val="00CF68E9"/>
    <w:rsid w:val="00D0269E"/>
    <w:rsid w:val="00D02BC6"/>
    <w:rsid w:val="00D038BE"/>
    <w:rsid w:val="00D05B1B"/>
    <w:rsid w:val="00D07DFC"/>
    <w:rsid w:val="00D101FD"/>
    <w:rsid w:val="00D172CB"/>
    <w:rsid w:val="00D17D06"/>
    <w:rsid w:val="00D21E11"/>
    <w:rsid w:val="00D229EE"/>
    <w:rsid w:val="00D24614"/>
    <w:rsid w:val="00D24D94"/>
    <w:rsid w:val="00D264BD"/>
    <w:rsid w:val="00D31CD8"/>
    <w:rsid w:val="00D32D66"/>
    <w:rsid w:val="00D332F3"/>
    <w:rsid w:val="00D3649E"/>
    <w:rsid w:val="00D4086C"/>
    <w:rsid w:val="00D40D15"/>
    <w:rsid w:val="00D42867"/>
    <w:rsid w:val="00D46C1B"/>
    <w:rsid w:val="00D50E7F"/>
    <w:rsid w:val="00D51C38"/>
    <w:rsid w:val="00D53DBC"/>
    <w:rsid w:val="00D53FDE"/>
    <w:rsid w:val="00D568AF"/>
    <w:rsid w:val="00D56B36"/>
    <w:rsid w:val="00D6056E"/>
    <w:rsid w:val="00D643AD"/>
    <w:rsid w:val="00D6462C"/>
    <w:rsid w:val="00D64869"/>
    <w:rsid w:val="00D67A4D"/>
    <w:rsid w:val="00D76115"/>
    <w:rsid w:val="00D77465"/>
    <w:rsid w:val="00D81BE4"/>
    <w:rsid w:val="00D83C00"/>
    <w:rsid w:val="00D90715"/>
    <w:rsid w:val="00D90B68"/>
    <w:rsid w:val="00D91156"/>
    <w:rsid w:val="00D96645"/>
    <w:rsid w:val="00D969E7"/>
    <w:rsid w:val="00D96CF7"/>
    <w:rsid w:val="00DA082D"/>
    <w:rsid w:val="00DA1392"/>
    <w:rsid w:val="00DA5141"/>
    <w:rsid w:val="00DA5B82"/>
    <w:rsid w:val="00DA5EF6"/>
    <w:rsid w:val="00DA642F"/>
    <w:rsid w:val="00DB0BDF"/>
    <w:rsid w:val="00DB18C9"/>
    <w:rsid w:val="00DB1B1A"/>
    <w:rsid w:val="00DB3B0A"/>
    <w:rsid w:val="00DB5692"/>
    <w:rsid w:val="00DB7714"/>
    <w:rsid w:val="00DC105D"/>
    <w:rsid w:val="00DC2126"/>
    <w:rsid w:val="00DC2E2B"/>
    <w:rsid w:val="00DC2F6F"/>
    <w:rsid w:val="00DC5DB8"/>
    <w:rsid w:val="00DC649E"/>
    <w:rsid w:val="00DD0AC1"/>
    <w:rsid w:val="00DD173F"/>
    <w:rsid w:val="00DD328F"/>
    <w:rsid w:val="00DD3526"/>
    <w:rsid w:val="00DD4C6F"/>
    <w:rsid w:val="00DD585E"/>
    <w:rsid w:val="00DD5DE7"/>
    <w:rsid w:val="00DD6AEB"/>
    <w:rsid w:val="00DD7257"/>
    <w:rsid w:val="00DD7AEA"/>
    <w:rsid w:val="00DE0B93"/>
    <w:rsid w:val="00DE0D8F"/>
    <w:rsid w:val="00DE434A"/>
    <w:rsid w:val="00DE5181"/>
    <w:rsid w:val="00DE6123"/>
    <w:rsid w:val="00DE6F3D"/>
    <w:rsid w:val="00DF43D9"/>
    <w:rsid w:val="00DF6279"/>
    <w:rsid w:val="00DF7F4D"/>
    <w:rsid w:val="00E02063"/>
    <w:rsid w:val="00E038D4"/>
    <w:rsid w:val="00E05123"/>
    <w:rsid w:val="00E05441"/>
    <w:rsid w:val="00E06B0A"/>
    <w:rsid w:val="00E07743"/>
    <w:rsid w:val="00E10E3A"/>
    <w:rsid w:val="00E128BA"/>
    <w:rsid w:val="00E14A38"/>
    <w:rsid w:val="00E2127D"/>
    <w:rsid w:val="00E22C93"/>
    <w:rsid w:val="00E250E5"/>
    <w:rsid w:val="00E261EC"/>
    <w:rsid w:val="00E26543"/>
    <w:rsid w:val="00E2712D"/>
    <w:rsid w:val="00E27F62"/>
    <w:rsid w:val="00E32EA8"/>
    <w:rsid w:val="00E34081"/>
    <w:rsid w:val="00E34205"/>
    <w:rsid w:val="00E438CE"/>
    <w:rsid w:val="00E46501"/>
    <w:rsid w:val="00E46663"/>
    <w:rsid w:val="00E46812"/>
    <w:rsid w:val="00E4711B"/>
    <w:rsid w:val="00E47469"/>
    <w:rsid w:val="00E474E7"/>
    <w:rsid w:val="00E4795E"/>
    <w:rsid w:val="00E50DFE"/>
    <w:rsid w:val="00E518EB"/>
    <w:rsid w:val="00E55679"/>
    <w:rsid w:val="00E56F66"/>
    <w:rsid w:val="00E603DD"/>
    <w:rsid w:val="00E60894"/>
    <w:rsid w:val="00E62496"/>
    <w:rsid w:val="00E627DC"/>
    <w:rsid w:val="00E66BEF"/>
    <w:rsid w:val="00E70520"/>
    <w:rsid w:val="00E722CA"/>
    <w:rsid w:val="00E75881"/>
    <w:rsid w:val="00E75E36"/>
    <w:rsid w:val="00E770DA"/>
    <w:rsid w:val="00E77725"/>
    <w:rsid w:val="00E81E98"/>
    <w:rsid w:val="00E85691"/>
    <w:rsid w:val="00E86B4C"/>
    <w:rsid w:val="00E9146E"/>
    <w:rsid w:val="00E92840"/>
    <w:rsid w:val="00E94276"/>
    <w:rsid w:val="00E948A3"/>
    <w:rsid w:val="00E94E19"/>
    <w:rsid w:val="00E96D45"/>
    <w:rsid w:val="00E9777F"/>
    <w:rsid w:val="00EA11DE"/>
    <w:rsid w:val="00EA1DCB"/>
    <w:rsid w:val="00EA4D67"/>
    <w:rsid w:val="00EA5259"/>
    <w:rsid w:val="00EA64C2"/>
    <w:rsid w:val="00EB2967"/>
    <w:rsid w:val="00EB2F8E"/>
    <w:rsid w:val="00EB3D28"/>
    <w:rsid w:val="00EB43FA"/>
    <w:rsid w:val="00EB5147"/>
    <w:rsid w:val="00EB5B29"/>
    <w:rsid w:val="00EB73FB"/>
    <w:rsid w:val="00ED230C"/>
    <w:rsid w:val="00ED30FF"/>
    <w:rsid w:val="00ED335C"/>
    <w:rsid w:val="00ED56D7"/>
    <w:rsid w:val="00ED66DF"/>
    <w:rsid w:val="00ED69FC"/>
    <w:rsid w:val="00EE0933"/>
    <w:rsid w:val="00EE2914"/>
    <w:rsid w:val="00EE468C"/>
    <w:rsid w:val="00EE4D14"/>
    <w:rsid w:val="00EE55DF"/>
    <w:rsid w:val="00EE66AF"/>
    <w:rsid w:val="00EE7048"/>
    <w:rsid w:val="00EE76DD"/>
    <w:rsid w:val="00EE7D54"/>
    <w:rsid w:val="00EF17B5"/>
    <w:rsid w:val="00EF31A9"/>
    <w:rsid w:val="00EF4328"/>
    <w:rsid w:val="00EF5306"/>
    <w:rsid w:val="00EF630C"/>
    <w:rsid w:val="00EF744D"/>
    <w:rsid w:val="00F0185A"/>
    <w:rsid w:val="00F01DF4"/>
    <w:rsid w:val="00F02293"/>
    <w:rsid w:val="00F03567"/>
    <w:rsid w:val="00F03F37"/>
    <w:rsid w:val="00F049FC"/>
    <w:rsid w:val="00F10904"/>
    <w:rsid w:val="00F10F36"/>
    <w:rsid w:val="00F115C3"/>
    <w:rsid w:val="00F13927"/>
    <w:rsid w:val="00F168AD"/>
    <w:rsid w:val="00F21BC3"/>
    <w:rsid w:val="00F23A24"/>
    <w:rsid w:val="00F253D9"/>
    <w:rsid w:val="00F272AD"/>
    <w:rsid w:val="00F30471"/>
    <w:rsid w:val="00F308B8"/>
    <w:rsid w:val="00F30D75"/>
    <w:rsid w:val="00F33B1F"/>
    <w:rsid w:val="00F4014B"/>
    <w:rsid w:val="00F40266"/>
    <w:rsid w:val="00F40D5D"/>
    <w:rsid w:val="00F424F3"/>
    <w:rsid w:val="00F43994"/>
    <w:rsid w:val="00F44B45"/>
    <w:rsid w:val="00F45F54"/>
    <w:rsid w:val="00F46B4F"/>
    <w:rsid w:val="00F50037"/>
    <w:rsid w:val="00F5121B"/>
    <w:rsid w:val="00F513FB"/>
    <w:rsid w:val="00F51EC1"/>
    <w:rsid w:val="00F521F5"/>
    <w:rsid w:val="00F5401C"/>
    <w:rsid w:val="00F54DB4"/>
    <w:rsid w:val="00F56576"/>
    <w:rsid w:val="00F56C9B"/>
    <w:rsid w:val="00F61BD2"/>
    <w:rsid w:val="00F64675"/>
    <w:rsid w:val="00F64E46"/>
    <w:rsid w:val="00F6630D"/>
    <w:rsid w:val="00F671F7"/>
    <w:rsid w:val="00F67FE5"/>
    <w:rsid w:val="00F703ED"/>
    <w:rsid w:val="00F72EDC"/>
    <w:rsid w:val="00F7390D"/>
    <w:rsid w:val="00F7480A"/>
    <w:rsid w:val="00F74902"/>
    <w:rsid w:val="00F770B8"/>
    <w:rsid w:val="00F8376D"/>
    <w:rsid w:val="00F843F6"/>
    <w:rsid w:val="00F845F4"/>
    <w:rsid w:val="00F8757C"/>
    <w:rsid w:val="00F900BD"/>
    <w:rsid w:val="00F91CBC"/>
    <w:rsid w:val="00F9213D"/>
    <w:rsid w:val="00F94FA5"/>
    <w:rsid w:val="00F95B55"/>
    <w:rsid w:val="00F96153"/>
    <w:rsid w:val="00F96C76"/>
    <w:rsid w:val="00F9788C"/>
    <w:rsid w:val="00FA24EC"/>
    <w:rsid w:val="00FA3EA1"/>
    <w:rsid w:val="00FA4B33"/>
    <w:rsid w:val="00FA5F0D"/>
    <w:rsid w:val="00FA724F"/>
    <w:rsid w:val="00FA7F70"/>
    <w:rsid w:val="00FB13A1"/>
    <w:rsid w:val="00FB3B44"/>
    <w:rsid w:val="00FB4168"/>
    <w:rsid w:val="00FB4185"/>
    <w:rsid w:val="00FB6DD0"/>
    <w:rsid w:val="00FB7D04"/>
    <w:rsid w:val="00FC0C3E"/>
    <w:rsid w:val="00FC1596"/>
    <w:rsid w:val="00FC1A16"/>
    <w:rsid w:val="00FC1B19"/>
    <w:rsid w:val="00FC3508"/>
    <w:rsid w:val="00FC46D7"/>
    <w:rsid w:val="00FC6AD5"/>
    <w:rsid w:val="00FC7CC0"/>
    <w:rsid w:val="00FD440D"/>
    <w:rsid w:val="00FD56DC"/>
    <w:rsid w:val="00FD72B5"/>
    <w:rsid w:val="00FE2E7C"/>
    <w:rsid w:val="00FE44DB"/>
    <w:rsid w:val="00FE5CBD"/>
    <w:rsid w:val="00FE6009"/>
    <w:rsid w:val="00FE7791"/>
    <w:rsid w:val="00FE77DD"/>
    <w:rsid w:val="00FF0234"/>
    <w:rsid w:val="00FF0A88"/>
    <w:rsid w:val="00FF0B7E"/>
    <w:rsid w:val="00FF2754"/>
    <w:rsid w:val="00FF7069"/>
    <w:rsid w:val="4F5FDA2B"/>
    <w:rsid w:val="52BBD64C"/>
    <w:rsid w:val="552F5653"/>
    <w:rsid w:val="5FF372F9"/>
    <w:rsid w:val="6DFDD57A"/>
    <w:rsid w:val="7C4BA41B"/>
    <w:rsid w:val="7F6A62C7"/>
    <w:rsid w:val="7FADBD83"/>
    <w:rsid w:val="7FBFD840"/>
    <w:rsid w:val="7FEE6C0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0738"/>
  <w15:docId w15:val="{B1035BBC-9F91-4FF8-A396-3630DBDDF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ind w:firstLine="709"/>
      <w:jc w:val="both"/>
    </w:pPr>
    <w:rPr>
      <w:rFonts w:ascii="Times New Roman" w:hAnsi="Times New Roman"/>
      <w:sz w:val="28"/>
      <w:szCs w:val="22"/>
      <w:lang w:val="ru-RU"/>
    </w:rPr>
  </w:style>
  <w:style w:type="paragraph" w:styleId="Ttulo1">
    <w:name w:val="heading 1"/>
    <w:basedOn w:val="Normal"/>
    <w:link w:val="Ttulo1Car"/>
    <w:uiPriority w:val="9"/>
    <w:qFormat/>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Ttulo2">
    <w:name w:val="heading 2"/>
    <w:basedOn w:val="Normal"/>
    <w:next w:val="Normal"/>
    <w:link w:val="Ttulo2C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tulo8">
    <w:name w:val="heading 8"/>
    <w:basedOn w:val="Normal"/>
    <w:next w:val="Normal"/>
    <w:link w:val="Ttulo8Car"/>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normal">
    <w:name w:val="Normal Indent"/>
    <w:basedOn w:val="Normal"/>
    <w:qFormat/>
    <w:pPr>
      <w:spacing w:before="60" w:after="60"/>
    </w:pPr>
    <w:rPr>
      <w:rFonts w:eastAsia="Times New Roman" w:cs="Times New Roman"/>
      <w:szCs w:val="24"/>
      <w:lang w:val="en-US" w:eastAsia="es-ES"/>
    </w:rPr>
  </w:style>
  <w:style w:type="paragraph" w:styleId="Descripcin">
    <w:name w:val="caption"/>
    <w:basedOn w:val="Normal"/>
    <w:next w:val="Normal"/>
    <w:uiPriority w:val="35"/>
    <w:unhideWhenUsed/>
    <w:qFormat/>
    <w:pPr>
      <w:spacing w:after="200" w:line="240" w:lineRule="auto"/>
      <w:ind w:firstLine="0"/>
      <w:jc w:val="left"/>
    </w:pPr>
    <w:rPr>
      <w:rFonts w:asciiTheme="minorHAnsi" w:hAnsiTheme="minorHAnsi"/>
      <w:i/>
      <w:iCs/>
      <w:color w:val="44546A" w:themeColor="text2"/>
      <w:sz w:val="18"/>
      <w:szCs w:val="18"/>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independiente">
    <w:name w:val="Body Text"/>
    <w:basedOn w:val="Normal"/>
    <w:link w:val="TextoindependienteCar"/>
    <w:uiPriority w:val="1"/>
    <w:qFormat/>
    <w:pPr>
      <w:widowControl w:val="0"/>
      <w:autoSpaceDE w:val="0"/>
      <w:autoSpaceDN w:val="0"/>
      <w:spacing w:line="240" w:lineRule="auto"/>
      <w:ind w:firstLine="0"/>
    </w:pPr>
    <w:rPr>
      <w:rFonts w:eastAsia="Times New Roman" w:cs="Times New Roman"/>
      <w:sz w:val="20"/>
      <w:szCs w:val="20"/>
      <w:lang w:val="en-US" w:bidi="en-US"/>
    </w:rPr>
  </w:style>
  <w:style w:type="paragraph" w:styleId="Textodeglobo">
    <w:name w:val="Balloon Text"/>
    <w:basedOn w:val="Normal"/>
    <w:link w:val="TextodegloboCar"/>
    <w:uiPriority w:val="99"/>
    <w:semiHidden/>
    <w:unhideWhenUsed/>
    <w:qFormat/>
    <w:pPr>
      <w:spacing w:line="240" w:lineRule="auto"/>
    </w:pPr>
    <w:rPr>
      <w:rFonts w:ascii="Segoe UI" w:hAnsi="Segoe UI" w:cs="Segoe UI"/>
      <w:sz w:val="18"/>
      <w:szCs w:val="18"/>
    </w:rPr>
  </w:style>
  <w:style w:type="paragraph" w:styleId="Piedepgina">
    <w:name w:val="footer"/>
    <w:basedOn w:val="Normal"/>
    <w:link w:val="PiedepginaCar"/>
    <w:uiPriority w:val="99"/>
    <w:unhideWhenUsed/>
    <w:qFormat/>
    <w:pPr>
      <w:tabs>
        <w:tab w:val="center" w:pos="4677"/>
        <w:tab w:val="right" w:pos="9355"/>
      </w:tabs>
      <w:spacing w:line="240" w:lineRule="auto"/>
    </w:pPr>
  </w:style>
  <w:style w:type="paragraph" w:styleId="Encabezado">
    <w:name w:val="header"/>
    <w:basedOn w:val="Normal"/>
    <w:link w:val="EncabezadoCar"/>
    <w:uiPriority w:val="99"/>
    <w:unhideWhenUsed/>
    <w:qFormat/>
    <w:pPr>
      <w:tabs>
        <w:tab w:val="center" w:pos="4677"/>
        <w:tab w:val="right" w:pos="9355"/>
      </w:tabs>
      <w:spacing w:line="240" w:lineRule="auto"/>
    </w:pPr>
  </w:style>
  <w:style w:type="paragraph" w:styleId="Textonotapie">
    <w:name w:val="footnote text"/>
    <w:basedOn w:val="Normal"/>
    <w:link w:val="TextonotapieCar"/>
    <w:uiPriority w:val="99"/>
    <w:semiHidden/>
    <w:unhideWhenUsed/>
    <w:qFormat/>
    <w:pPr>
      <w:spacing w:line="240" w:lineRule="auto"/>
      <w:ind w:firstLine="0"/>
      <w:jc w:val="left"/>
    </w:pPr>
    <w:rPr>
      <w:rFonts w:asciiTheme="minorHAnsi" w:hAnsiTheme="minorHAnsi"/>
      <w:sz w:val="20"/>
      <w:szCs w:val="20"/>
    </w:rPr>
  </w:style>
  <w:style w:type="paragraph" w:styleId="NormalWeb">
    <w:name w:val="Normal (Web)"/>
    <w:basedOn w:val="Normal"/>
    <w:link w:val="NormalWebCar"/>
    <w:uiPriority w:val="99"/>
    <w:unhideWhenUsed/>
    <w:qFormat/>
    <w:rPr>
      <w:rFonts w:cs="Times New Roman"/>
      <w:sz w:val="24"/>
      <w:szCs w:val="24"/>
    </w:rPr>
  </w:style>
  <w:style w:type="paragraph" w:styleId="Asuntodelcomentario">
    <w:name w:val="annotation subject"/>
    <w:basedOn w:val="Textocomentario"/>
    <w:next w:val="Textocomentario"/>
    <w:link w:val="AsuntodelcomentarioCar"/>
    <w:uiPriority w:val="99"/>
    <w:semiHidden/>
    <w:unhideWhenUsed/>
    <w:qFormat/>
    <w:rPr>
      <w:b/>
      <w:bC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Pr>
      <w:b/>
      <w:bCs/>
    </w:rPr>
  </w:style>
  <w:style w:type="character" w:styleId="Hipervnculovisitado">
    <w:name w:val="FollowedHyperlink"/>
    <w:basedOn w:val="Fuentedeprrafopredeter"/>
    <w:uiPriority w:val="99"/>
    <w:semiHidden/>
    <w:unhideWhenUsed/>
    <w:qFormat/>
    <w:rPr>
      <w:color w:val="954F72" w:themeColor="followedHyperlink"/>
      <w:u w:val="single"/>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customStyle="1" w:styleId="EncabezadoCar">
    <w:name w:val="Encabezado Car"/>
    <w:basedOn w:val="Fuentedeprrafopredeter"/>
    <w:link w:val="Encabezado"/>
    <w:uiPriority w:val="99"/>
    <w:qFormat/>
    <w:rPr>
      <w:rFonts w:ascii="Times New Roman" w:hAnsi="Times New Roman"/>
      <w:sz w:val="28"/>
    </w:rPr>
  </w:style>
  <w:style w:type="character" w:customStyle="1" w:styleId="PiedepginaCar">
    <w:name w:val="Pie de página Car"/>
    <w:basedOn w:val="Fuentedeprrafopredeter"/>
    <w:link w:val="Piedepgina"/>
    <w:uiPriority w:val="99"/>
    <w:qFormat/>
    <w:rPr>
      <w:rFonts w:ascii="Times New Roman" w:hAnsi="Times New Roman"/>
      <w:sz w:val="28"/>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sz w:val="20"/>
      <w:szCs w:val="20"/>
    </w:rPr>
  </w:style>
  <w:style w:type="character" w:customStyle="1" w:styleId="1">
    <w:name w:val="Неразрешенное упоминание1"/>
    <w:basedOn w:val="Fuentedeprrafopredeter"/>
    <w:uiPriority w:val="99"/>
    <w:semiHidden/>
    <w:unhideWhenUsed/>
    <w:qFormat/>
    <w:rPr>
      <w:color w:val="605E5C"/>
      <w:shd w:val="clear" w:color="auto" w:fill="E1DFDD"/>
    </w:rPr>
  </w:style>
  <w:style w:type="paragraph" w:customStyle="1" w:styleId="Article-Title">
    <w:name w:val="Article-Title"/>
    <w:basedOn w:val="Normal"/>
    <w:qFormat/>
    <w:pPr>
      <w:autoSpaceDE w:val="0"/>
      <w:autoSpaceDN w:val="0"/>
      <w:adjustRightInd w:val="0"/>
      <w:spacing w:line="240" w:lineRule="auto"/>
      <w:ind w:firstLine="0"/>
      <w:jc w:val="center"/>
    </w:pPr>
    <w:rPr>
      <w:rFonts w:eastAsia="Calibri" w:cs="Arial"/>
      <w:b/>
      <w:bCs/>
      <w:color w:val="000000"/>
      <w:sz w:val="40"/>
      <w:szCs w:val="28"/>
      <w:lang w:val="en-IN"/>
    </w:rPr>
  </w:style>
  <w:style w:type="character" w:customStyle="1" w:styleId="2">
    <w:name w:val="Неразрешенное упоминание2"/>
    <w:basedOn w:val="Fuentedeprrafopredeter"/>
    <w:uiPriority w:val="99"/>
    <w:semiHidden/>
    <w:unhideWhenUsed/>
    <w:qFormat/>
    <w:rPr>
      <w:color w:val="605E5C"/>
      <w:shd w:val="clear" w:color="auto" w:fill="E1DFDD"/>
    </w:rPr>
  </w:style>
  <w:style w:type="character" w:customStyle="1" w:styleId="3">
    <w:name w:val="Неразрешенное упоминание3"/>
    <w:basedOn w:val="Fuentedeprrafopredeter"/>
    <w:uiPriority w:val="99"/>
    <w:semiHidden/>
    <w:unhideWhenUsed/>
    <w:qFormat/>
    <w:rPr>
      <w:color w:val="605E5C"/>
      <w:shd w:val="clear" w:color="auto" w:fill="E1DFDD"/>
    </w:rPr>
  </w:style>
  <w:style w:type="character" w:customStyle="1" w:styleId="Ttulo1Car">
    <w:name w:val="Título 1 Car"/>
    <w:basedOn w:val="Fuentedeprrafopredeter"/>
    <w:link w:val="Ttulo1"/>
    <w:uiPriority w:val="99"/>
    <w:qFormat/>
    <w:rPr>
      <w:rFonts w:ascii="Times New Roman" w:eastAsia="Times New Roman" w:hAnsi="Times New Roman" w:cs="Times New Roman"/>
      <w:b/>
      <w:bCs/>
      <w:kern w:val="36"/>
      <w:sz w:val="48"/>
      <w:szCs w:val="48"/>
      <w:lang w:eastAsia="ru-RU"/>
    </w:rPr>
  </w:style>
  <w:style w:type="character" w:customStyle="1" w:styleId="rynqvb">
    <w:name w:val="rynqvb"/>
    <w:basedOn w:val="Fuentedeprrafopredeter"/>
    <w:qFormat/>
  </w:style>
  <w:style w:type="character" w:customStyle="1" w:styleId="TextocomentarioCar">
    <w:name w:val="Texto comentario Car"/>
    <w:basedOn w:val="Fuentedeprrafopredeter"/>
    <w:link w:val="Textocomentario"/>
    <w:uiPriority w:val="99"/>
    <w:qFormat/>
    <w:rPr>
      <w:rFonts w:ascii="Times New Roman" w:hAnsi="Times New Roman"/>
      <w:sz w:val="20"/>
      <w:szCs w:val="20"/>
    </w:rPr>
  </w:style>
  <w:style w:type="character" w:customStyle="1" w:styleId="AsuntodelcomentarioCar">
    <w:name w:val="Asunto del comentario Car"/>
    <w:basedOn w:val="TextocomentarioCar"/>
    <w:link w:val="Asuntodelcomentario"/>
    <w:uiPriority w:val="99"/>
    <w:semiHidden/>
    <w:qFormat/>
    <w:rPr>
      <w:rFonts w:ascii="Times New Roman" w:hAnsi="Times New Roman"/>
      <w:b/>
      <w:bCs/>
      <w:sz w:val="20"/>
      <w:szCs w:val="20"/>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character" w:customStyle="1" w:styleId="NormalWebCar">
    <w:name w:val="Normal (Web) Car"/>
    <w:link w:val="NormalWeb"/>
    <w:uiPriority w:val="99"/>
    <w:qFormat/>
    <w:rPr>
      <w:rFonts w:ascii="Times New Roman" w:hAnsi="Times New Roman" w:cs="Times New Roman"/>
      <w:sz w:val="24"/>
      <w:szCs w:val="24"/>
    </w:rPr>
  </w:style>
  <w:style w:type="paragraph" w:styleId="Sinespaciado">
    <w:name w:val="No Spacing"/>
    <w:link w:val="SinespaciadoCar"/>
    <w:qFormat/>
    <w:rPr>
      <w:rFonts w:ascii="Calibri" w:eastAsia="Calibri" w:hAnsi="Calibri" w:cs="Angsana New"/>
      <w:sz w:val="22"/>
      <w:szCs w:val="28"/>
      <w:lang w:val="en-GB" w:eastAsia="en-GB"/>
    </w:rPr>
  </w:style>
  <w:style w:type="character" w:customStyle="1" w:styleId="SinespaciadoCar">
    <w:name w:val="Sin espaciado Car"/>
    <w:link w:val="Sinespaciado"/>
    <w:uiPriority w:val="1"/>
    <w:qFormat/>
    <w:rPr>
      <w:rFonts w:ascii="Calibri" w:eastAsia="Calibri" w:hAnsi="Calibri" w:cs="Angsana New"/>
      <w:szCs w:val="28"/>
      <w:lang w:val="en-GB" w:eastAsia="en-GB"/>
    </w:rPr>
  </w:style>
  <w:style w:type="character" w:customStyle="1" w:styleId="name">
    <w:name w:val="name"/>
    <w:basedOn w:val="Fuentedeprrafopredeter"/>
    <w:qFormat/>
  </w:style>
  <w:style w:type="character" w:customStyle="1" w:styleId="organictextcontentspan">
    <w:name w:val="organictextcontentspan"/>
    <w:basedOn w:val="Fuentedeprrafopredeter"/>
    <w:qFormat/>
  </w:style>
  <w:style w:type="character" w:customStyle="1" w:styleId="hwtze">
    <w:name w:val="hwtze"/>
    <w:basedOn w:val="Fuentedeprrafopredeter"/>
    <w:qFormat/>
  </w:style>
  <w:style w:type="character" w:customStyle="1" w:styleId="extendedtext-full">
    <w:name w:val="extendedtext-full"/>
    <w:basedOn w:val="Fuentedeprrafopredeter"/>
    <w:qFormat/>
  </w:style>
  <w:style w:type="character" w:customStyle="1" w:styleId="c-bibliographic-informationvalue">
    <w:name w:val="c-bibliographic-information__value"/>
    <w:basedOn w:val="Fuentedeprrafopredeter"/>
    <w:qFormat/>
  </w:style>
  <w:style w:type="character" w:customStyle="1" w:styleId="TextoindependienteCar">
    <w:name w:val="Texto independiente Car"/>
    <w:basedOn w:val="Fuentedeprrafopredeter"/>
    <w:link w:val="Textoindependiente"/>
    <w:uiPriority w:val="1"/>
    <w:qFormat/>
    <w:rPr>
      <w:rFonts w:ascii="Times New Roman" w:eastAsia="Times New Roman" w:hAnsi="Times New Roman" w:cs="Times New Roman"/>
      <w:sz w:val="20"/>
      <w:szCs w:val="20"/>
      <w:lang w:val="en-US" w:bidi="en-US"/>
    </w:rPr>
  </w:style>
  <w:style w:type="character" w:customStyle="1" w:styleId="hidden-md">
    <w:name w:val="hidden-md"/>
    <w:basedOn w:val="Fuentedeprrafopredeter"/>
    <w:qFormat/>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lang w:val="ru-RU" w:eastAsia="ru-RU"/>
    </w:rPr>
  </w:style>
  <w:style w:type="paragraph" w:customStyle="1" w:styleId="references">
    <w:name w:val="references"/>
    <w:qFormat/>
    <w:pPr>
      <w:spacing w:after="50" w:line="180" w:lineRule="exact"/>
      <w:jc w:val="both"/>
    </w:pPr>
    <w:rPr>
      <w:rFonts w:ascii="Times New Roman" w:eastAsia="SimSun" w:hAnsi="Times New Roman" w:cs="Times New Roman"/>
      <w:sz w:val="16"/>
      <w:szCs w:val="16"/>
    </w:rPr>
  </w:style>
  <w:style w:type="paragraph" w:customStyle="1" w:styleId="a">
    <w:name w:val="Дефолт текст"/>
    <w:basedOn w:val="Normal"/>
    <w:link w:val="a0"/>
    <w:qFormat/>
    <w:rPr>
      <w:rFonts w:ascii="Trebuchet MS" w:eastAsia="Arial" w:hAnsi="Trebuchet MS" w:cs="Times New Roman"/>
      <w:sz w:val="24"/>
      <w:szCs w:val="24"/>
      <w:lang w:val="pt-BR" w:eastAsia="pt-BR"/>
    </w:rPr>
  </w:style>
  <w:style w:type="character" w:customStyle="1" w:styleId="a0">
    <w:name w:val="Дефолт текст Знак"/>
    <w:basedOn w:val="Fuentedeprrafopredeter"/>
    <w:link w:val="a"/>
    <w:qFormat/>
    <w:rPr>
      <w:rFonts w:ascii="Trebuchet MS" w:eastAsia="Arial" w:hAnsi="Trebuchet MS" w:cs="Times New Roman"/>
      <w:sz w:val="24"/>
      <w:szCs w:val="24"/>
      <w:lang w:val="pt-BR" w:eastAsia="pt-BR"/>
    </w:rPr>
  </w:style>
  <w:style w:type="paragraph" w:customStyle="1" w:styleId="a1">
    <w:name w:val="подзаголовок"/>
    <w:basedOn w:val="Normal"/>
    <w:link w:val="a2"/>
    <w:qFormat/>
    <w:pPr>
      <w:ind w:firstLine="0"/>
    </w:pPr>
    <w:rPr>
      <w:rFonts w:ascii="Trebuchet MS" w:hAnsi="Trebuchet MS" w:cs="Times New Roman"/>
      <w:sz w:val="24"/>
      <w:lang w:val="pt-BR"/>
    </w:rPr>
  </w:style>
  <w:style w:type="character" w:customStyle="1" w:styleId="a2">
    <w:name w:val="подзаголовок Знак"/>
    <w:basedOn w:val="Fuentedeprrafopredeter"/>
    <w:link w:val="a1"/>
    <w:qFormat/>
    <w:rPr>
      <w:rFonts w:ascii="Trebuchet MS" w:hAnsi="Trebuchet MS" w:cs="Times New Roman"/>
      <w:sz w:val="24"/>
      <w:lang w:val="pt-BR"/>
    </w:rPr>
  </w:style>
  <w:style w:type="table" w:customStyle="1" w:styleId="TableNormal0">
    <w:name w:val="Table Normal_0"/>
    <w:uiPriority w:val="2"/>
    <w:qFormat/>
    <w:pPr>
      <w:spacing w:line="276" w:lineRule="auto"/>
    </w:pPr>
    <w:rPr>
      <w:rFonts w:ascii="Arial" w:eastAsia="Arial" w:hAnsi="Arial" w:cs="Arial"/>
      <w:lang w:val="pt-BR" w:eastAsia="pt-BR"/>
    </w:rPr>
    <w:tblPr>
      <w:tblCellMar>
        <w:top w:w="0" w:type="dxa"/>
        <w:left w:w="0" w:type="dxa"/>
        <w:bottom w:w="0" w:type="dxa"/>
        <w:right w:w="0" w:type="dxa"/>
      </w:tblCellMar>
    </w:tblPr>
  </w:style>
  <w:style w:type="character" w:styleId="Textodelmarcadordeposicin">
    <w:name w:val="Placeholder Text"/>
    <w:basedOn w:val="Fuentedeprrafopredeter"/>
    <w:uiPriority w:val="99"/>
    <w:semiHidden/>
    <w:qFormat/>
    <w:rPr>
      <w:color w:val="808080"/>
    </w:rPr>
  </w:style>
  <w:style w:type="character" w:customStyle="1" w:styleId="docdata">
    <w:name w:val="docdata"/>
    <w:basedOn w:val="Fuentedeprrafopredeter"/>
    <w:uiPriority w:val="99"/>
    <w:qFormat/>
    <w:rPr>
      <w:rFonts w:cs="Times New Roman"/>
    </w:rPr>
  </w:style>
  <w:style w:type="character" w:customStyle="1" w:styleId="Ttulo3Car">
    <w:name w:val="Título 3 Car"/>
    <w:basedOn w:val="Fuentedeprrafopredeter"/>
    <w:link w:val="Ttulo3"/>
    <w:uiPriority w:val="9"/>
    <w:semiHidden/>
    <w:qFormat/>
    <w:rPr>
      <w:rFonts w:asciiTheme="majorHAnsi" w:eastAsiaTheme="majorEastAsia" w:hAnsiTheme="majorHAnsi" w:cstheme="majorBidi"/>
      <w:color w:val="1F4E79" w:themeColor="accent1" w:themeShade="80"/>
      <w:sz w:val="24"/>
      <w:szCs w:val="24"/>
    </w:rPr>
  </w:style>
  <w:style w:type="paragraph" w:customStyle="1" w:styleId="10">
    <w:name w:val="Основной текст1"/>
    <w:basedOn w:val="Normal"/>
    <w:link w:val="a3"/>
    <w:qFormat/>
    <w:pPr>
      <w:shd w:val="clear" w:color="auto" w:fill="FFFFFF"/>
      <w:spacing w:line="240" w:lineRule="exact"/>
      <w:ind w:firstLine="0"/>
    </w:pPr>
    <w:rPr>
      <w:rFonts w:eastAsia="Times New Roman" w:cs="Times New Roman"/>
      <w:color w:val="000000"/>
      <w:sz w:val="20"/>
      <w:szCs w:val="20"/>
      <w:lang w:eastAsia="ru-RU"/>
    </w:rPr>
  </w:style>
  <w:style w:type="character" w:customStyle="1" w:styleId="a3">
    <w:name w:val="Основной текст_"/>
    <w:basedOn w:val="Fuentedeprrafopredeter"/>
    <w:link w:val="10"/>
    <w:qFormat/>
    <w:rPr>
      <w:rFonts w:ascii="Times New Roman" w:eastAsia="Times New Roman" w:hAnsi="Times New Roman" w:cs="Times New Roman"/>
      <w:color w:val="000000"/>
      <w:sz w:val="20"/>
      <w:szCs w:val="20"/>
      <w:shd w:val="clear" w:color="auto" w:fill="FFFFFF"/>
      <w:lang w:eastAsia="ru-RU"/>
    </w:rPr>
  </w:style>
  <w:style w:type="character" w:customStyle="1" w:styleId="30">
    <w:name w:val="Основной текст (3)_"/>
    <w:basedOn w:val="Fuentedeprrafopredeter"/>
    <w:link w:val="31"/>
    <w:qFormat/>
    <w:rPr>
      <w:sz w:val="27"/>
      <w:szCs w:val="27"/>
      <w:shd w:val="clear" w:color="auto" w:fill="FFFFFF"/>
    </w:rPr>
  </w:style>
  <w:style w:type="paragraph" w:customStyle="1" w:styleId="31">
    <w:name w:val="Основной текст (3)"/>
    <w:basedOn w:val="Normal"/>
    <w:link w:val="30"/>
    <w:qFormat/>
    <w:pPr>
      <w:shd w:val="clear" w:color="auto" w:fill="FFFFFF"/>
      <w:spacing w:line="480" w:lineRule="exact"/>
      <w:ind w:firstLine="0"/>
    </w:pPr>
    <w:rPr>
      <w:rFonts w:asciiTheme="minorHAnsi" w:hAnsiTheme="minorHAnsi"/>
      <w:sz w:val="27"/>
      <w:szCs w:val="27"/>
    </w:rPr>
  </w:style>
  <w:style w:type="character" w:customStyle="1" w:styleId="Ttulo8Car">
    <w:name w:val="Título 8 Car"/>
    <w:basedOn w:val="Fuentedeprrafopredeter"/>
    <w:link w:val="Ttulo8"/>
    <w:uiPriority w:val="9"/>
    <w:semiHidden/>
    <w:qFormat/>
    <w:rPr>
      <w:rFonts w:asciiTheme="majorHAnsi" w:eastAsiaTheme="majorEastAsia" w:hAnsiTheme="majorHAnsi" w:cstheme="majorBidi"/>
      <w:color w:val="262626" w:themeColor="text1" w:themeTint="D9"/>
      <w:sz w:val="21"/>
      <w:szCs w:val="21"/>
    </w:rPr>
  </w:style>
  <w:style w:type="character" w:customStyle="1" w:styleId="UnresolvedMention1">
    <w:name w:val="Unresolved Mention1"/>
    <w:basedOn w:val="Fuentedeprrafopredeter"/>
    <w:uiPriority w:val="99"/>
    <w:semiHidden/>
    <w:unhideWhenUsed/>
    <w:qFormat/>
    <w:rPr>
      <w:color w:val="605E5C"/>
      <w:shd w:val="clear" w:color="auto" w:fill="E1DFDD"/>
    </w:rPr>
  </w:style>
  <w:style w:type="paragraph" w:customStyle="1" w:styleId="SAP-Paragraph">
    <w:name w:val="SAP-Paragraph"/>
    <w:qFormat/>
    <w:pPr>
      <w:adjustRightInd w:val="0"/>
      <w:snapToGrid w:val="0"/>
      <w:spacing w:line="240" w:lineRule="exact"/>
      <w:ind w:firstLineChars="100" w:firstLine="100"/>
      <w:jc w:val="both"/>
    </w:pPr>
    <w:rPr>
      <w:rFonts w:ascii="Times New Roman" w:eastAsia="Times New Roman" w:hAnsi="Times New Roman" w:cs="Times New Roman"/>
      <w:szCs w:val="24"/>
      <w:lang w:val="en-AU" w:eastAsia="zh-CN"/>
    </w:rPr>
  </w:style>
  <w:style w:type="paragraph" w:customStyle="1" w:styleId="SAP-TableHeadingSingleline">
    <w:name w:val="SAP-Table Heading Single line"/>
    <w:basedOn w:val="Normal"/>
    <w:qFormat/>
    <w:pPr>
      <w:adjustRightInd w:val="0"/>
      <w:snapToGrid w:val="0"/>
      <w:spacing w:before="200" w:after="100" w:line="160" w:lineRule="exact"/>
      <w:jc w:val="center"/>
    </w:pPr>
    <w:rPr>
      <w:rFonts w:eastAsia="Times New Roman"/>
      <w:bCs/>
      <w:sz w:val="16"/>
      <w:lang w:val="en-AU"/>
    </w:rPr>
  </w:style>
  <w:style w:type="paragraph" w:styleId="HTMLconformatoprevio">
    <w:name w:val="HTML Preformatted"/>
    <w:basedOn w:val="Normal"/>
    <w:link w:val="HTMLconformatoprevioCar"/>
    <w:uiPriority w:val="99"/>
    <w:semiHidden/>
    <w:unhideWhenUsed/>
    <w:rsid w:val="00495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49578D"/>
    <w:rPr>
      <w:rFonts w:ascii="Courier New" w:eastAsia="Times New Roman" w:hAnsi="Courier New" w:cs="Courier New"/>
      <w:lang w:val="es-ES" w:eastAsia="es-ES"/>
    </w:rPr>
  </w:style>
  <w:style w:type="character" w:styleId="CdigoHTML">
    <w:name w:val="HTML Code"/>
    <w:basedOn w:val="Fuentedeprrafopredeter"/>
    <w:uiPriority w:val="99"/>
    <w:semiHidden/>
    <w:unhideWhenUsed/>
    <w:rsid w:val="0049578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18551">
      <w:bodyDiv w:val="1"/>
      <w:marLeft w:val="0"/>
      <w:marRight w:val="0"/>
      <w:marTop w:val="0"/>
      <w:marBottom w:val="0"/>
      <w:divBdr>
        <w:top w:val="none" w:sz="0" w:space="0" w:color="auto"/>
        <w:left w:val="none" w:sz="0" w:space="0" w:color="auto"/>
        <w:bottom w:val="none" w:sz="0" w:space="0" w:color="auto"/>
        <w:right w:val="none" w:sz="0" w:space="0" w:color="auto"/>
      </w:divBdr>
    </w:div>
    <w:div w:id="724834367">
      <w:bodyDiv w:val="1"/>
      <w:marLeft w:val="0"/>
      <w:marRight w:val="0"/>
      <w:marTop w:val="0"/>
      <w:marBottom w:val="0"/>
      <w:divBdr>
        <w:top w:val="none" w:sz="0" w:space="0" w:color="auto"/>
        <w:left w:val="none" w:sz="0" w:space="0" w:color="auto"/>
        <w:bottom w:val="none" w:sz="0" w:space="0" w:color="auto"/>
        <w:right w:val="none" w:sz="0" w:space="0" w:color="auto"/>
      </w:divBdr>
    </w:div>
    <w:div w:id="943271525">
      <w:bodyDiv w:val="1"/>
      <w:marLeft w:val="0"/>
      <w:marRight w:val="0"/>
      <w:marTop w:val="0"/>
      <w:marBottom w:val="0"/>
      <w:divBdr>
        <w:top w:val="none" w:sz="0" w:space="0" w:color="auto"/>
        <w:left w:val="none" w:sz="0" w:space="0" w:color="auto"/>
        <w:bottom w:val="none" w:sz="0" w:space="0" w:color="auto"/>
        <w:right w:val="none" w:sz="0" w:space="0" w:color="auto"/>
      </w:divBdr>
      <w:divsChild>
        <w:div w:id="1307515162">
          <w:marLeft w:val="0"/>
          <w:marRight w:val="0"/>
          <w:marTop w:val="0"/>
          <w:marBottom w:val="0"/>
          <w:divBdr>
            <w:top w:val="none" w:sz="0" w:space="0" w:color="auto"/>
            <w:left w:val="none" w:sz="0" w:space="0" w:color="auto"/>
            <w:bottom w:val="none" w:sz="0" w:space="0" w:color="auto"/>
            <w:right w:val="none" w:sz="0" w:space="0" w:color="auto"/>
          </w:divBdr>
          <w:divsChild>
            <w:div w:id="1034965283">
              <w:marLeft w:val="0"/>
              <w:marRight w:val="0"/>
              <w:marTop w:val="0"/>
              <w:marBottom w:val="0"/>
              <w:divBdr>
                <w:top w:val="none" w:sz="0" w:space="0" w:color="auto"/>
                <w:left w:val="none" w:sz="0" w:space="0" w:color="auto"/>
                <w:bottom w:val="none" w:sz="0" w:space="0" w:color="auto"/>
                <w:right w:val="none" w:sz="0" w:space="0" w:color="auto"/>
              </w:divBdr>
              <w:divsChild>
                <w:div w:id="1860123063">
                  <w:marLeft w:val="0"/>
                  <w:marRight w:val="0"/>
                  <w:marTop w:val="0"/>
                  <w:marBottom w:val="0"/>
                  <w:divBdr>
                    <w:top w:val="none" w:sz="0" w:space="0" w:color="auto"/>
                    <w:left w:val="none" w:sz="0" w:space="0" w:color="auto"/>
                    <w:bottom w:val="none" w:sz="0" w:space="0" w:color="auto"/>
                    <w:right w:val="none" w:sz="0" w:space="0" w:color="auto"/>
                  </w:divBdr>
                  <w:divsChild>
                    <w:div w:id="1706636278">
                      <w:marLeft w:val="0"/>
                      <w:marRight w:val="0"/>
                      <w:marTop w:val="0"/>
                      <w:marBottom w:val="0"/>
                      <w:divBdr>
                        <w:top w:val="none" w:sz="0" w:space="0" w:color="auto"/>
                        <w:left w:val="none" w:sz="0" w:space="0" w:color="auto"/>
                        <w:bottom w:val="none" w:sz="0" w:space="0" w:color="auto"/>
                        <w:right w:val="none" w:sz="0" w:space="0" w:color="auto"/>
                      </w:divBdr>
                      <w:divsChild>
                        <w:div w:id="453644041">
                          <w:marLeft w:val="0"/>
                          <w:marRight w:val="0"/>
                          <w:marTop w:val="0"/>
                          <w:marBottom w:val="0"/>
                          <w:divBdr>
                            <w:top w:val="none" w:sz="0" w:space="0" w:color="auto"/>
                            <w:left w:val="none" w:sz="0" w:space="0" w:color="auto"/>
                            <w:bottom w:val="none" w:sz="0" w:space="0" w:color="auto"/>
                            <w:right w:val="none" w:sz="0" w:space="0" w:color="auto"/>
                          </w:divBdr>
                          <w:divsChild>
                            <w:div w:id="939262947">
                              <w:marLeft w:val="0"/>
                              <w:marRight w:val="0"/>
                              <w:marTop w:val="0"/>
                              <w:marBottom w:val="0"/>
                              <w:divBdr>
                                <w:top w:val="none" w:sz="0" w:space="0" w:color="auto"/>
                                <w:left w:val="none" w:sz="0" w:space="0" w:color="auto"/>
                                <w:bottom w:val="none" w:sz="0" w:space="0" w:color="auto"/>
                                <w:right w:val="none" w:sz="0" w:space="0" w:color="auto"/>
                              </w:divBdr>
                              <w:divsChild>
                                <w:div w:id="477457250">
                                  <w:marLeft w:val="0"/>
                                  <w:marRight w:val="0"/>
                                  <w:marTop w:val="0"/>
                                  <w:marBottom w:val="0"/>
                                  <w:divBdr>
                                    <w:top w:val="none" w:sz="0" w:space="0" w:color="auto"/>
                                    <w:left w:val="none" w:sz="0" w:space="0" w:color="auto"/>
                                    <w:bottom w:val="none" w:sz="0" w:space="0" w:color="auto"/>
                                    <w:right w:val="none" w:sz="0" w:space="0" w:color="auto"/>
                                  </w:divBdr>
                                  <w:divsChild>
                                    <w:div w:id="1126240234">
                                      <w:marLeft w:val="0"/>
                                      <w:marRight w:val="0"/>
                                      <w:marTop w:val="0"/>
                                      <w:marBottom w:val="0"/>
                                      <w:divBdr>
                                        <w:top w:val="none" w:sz="0" w:space="0" w:color="auto"/>
                                        <w:left w:val="none" w:sz="0" w:space="0" w:color="auto"/>
                                        <w:bottom w:val="none" w:sz="0" w:space="0" w:color="auto"/>
                                        <w:right w:val="none" w:sz="0" w:space="0" w:color="auto"/>
                                      </w:divBdr>
                                      <w:divsChild>
                                        <w:div w:id="502280347">
                                          <w:marLeft w:val="0"/>
                                          <w:marRight w:val="0"/>
                                          <w:marTop w:val="0"/>
                                          <w:marBottom w:val="0"/>
                                          <w:divBdr>
                                            <w:top w:val="none" w:sz="0" w:space="0" w:color="auto"/>
                                            <w:left w:val="none" w:sz="0" w:space="0" w:color="auto"/>
                                            <w:bottom w:val="none" w:sz="0" w:space="0" w:color="auto"/>
                                            <w:right w:val="none" w:sz="0" w:space="0" w:color="auto"/>
                                          </w:divBdr>
                                          <w:divsChild>
                                            <w:div w:id="2052462744">
                                              <w:marLeft w:val="0"/>
                                              <w:marRight w:val="0"/>
                                              <w:marTop w:val="0"/>
                                              <w:marBottom w:val="0"/>
                                              <w:divBdr>
                                                <w:top w:val="none" w:sz="0" w:space="0" w:color="auto"/>
                                                <w:left w:val="none" w:sz="0" w:space="0" w:color="auto"/>
                                                <w:bottom w:val="none" w:sz="0" w:space="0" w:color="auto"/>
                                                <w:right w:val="none" w:sz="0" w:space="0" w:color="auto"/>
                                              </w:divBdr>
                                              <w:divsChild>
                                                <w:div w:id="6676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1823173">
          <w:marLeft w:val="0"/>
          <w:marRight w:val="0"/>
          <w:marTop w:val="0"/>
          <w:marBottom w:val="0"/>
          <w:divBdr>
            <w:top w:val="none" w:sz="0" w:space="0" w:color="auto"/>
            <w:left w:val="none" w:sz="0" w:space="0" w:color="auto"/>
            <w:bottom w:val="none" w:sz="0" w:space="0" w:color="auto"/>
            <w:right w:val="none" w:sz="0" w:space="0" w:color="auto"/>
          </w:divBdr>
          <w:divsChild>
            <w:div w:id="1704671358">
              <w:marLeft w:val="0"/>
              <w:marRight w:val="0"/>
              <w:marTop w:val="0"/>
              <w:marBottom w:val="0"/>
              <w:divBdr>
                <w:top w:val="none" w:sz="0" w:space="0" w:color="auto"/>
                <w:left w:val="none" w:sz="0" w:space="0" w:color="auto"/>
                <w:bottom w:val="none" w:sz="0" w:space="0" w:color="auto"/>
                <w:right w:val="none" w:sz="0" w:space="0" w:color="auto"/>
              </w:divBdr>
              <w:divsChild>
                <w:div w:id="92939946">
                  <w:marLeft w:val="0"/>
                  <w:marRight w:val="0"/>
                  <w:marTop w:val="0"/>
                  <w:marBottom w:val="0"/>
                  <w:divBdr>
                    <w:top w:val="none" w:sz="0" w:space="0" w:color="auto"/>
                    <w:left w:val="none" w:sz="0" w:space="0" w:color="auto"/>
                    <w:bottom w:val="none" w:sz="0" w:space="0" w:color="auto"/>
                    <w:right w:val="none" w:sz="0" w:space="0" w:color="auto"/>
                  </w:divBdr>
                  <w:divsChild>
                    <w:div w:id="1806043106">
                      <w:marLeft w:val="0"/>
                      <w:marRight w:val="0"/>
                      <w:marTop w:val="0"/>
                      <w:marBottom w:val="0"/>
                      <w:divBdr>
                        <w:top w:val="none" w:sz="0" w:space="0" w:color="auto"/>
                        <w:left w:val="none" w:sz="0" w:space="0" w:color="auto"/>
                        <w:bottom w:val="none" w:sz="0" w:space="0" w:color="auto"/>
                        <w:right w:val="none" w:sz="0" w:space="0" w:color="auto"/>
                      </w:divBdr>
                      <w:divsChild>
                        <w:div w:id="551380104">
                          <w:marLeft w:val="0"/>
                          <w:marRight w:val="0"/>
                          <w:marTop w:val="0"/>
                          <w:marBottom w:val="0"/>
                          <w:divBdr>
                            <w:top w:val="none" w:sz="0" w:space="0" w:color="auto"/>
                            <w:left w:val="none" w:sz="0" w:space="0" w:color="auto"/>
                            <w:bottom w:val="none" w:sz="0" w:space="0" w:color="auto"/>
                            <w:right w:val="none" w:sz="0" w:space="0" w:color="auto"/>
                          </w:divBdr>
                          <w:divsChild>
                            <w:div w:id="394360104">
                              <w:marLeft w:val="0"/>
                              <w:marRight w:val="0"/>
                              <w:marTop w:val="0"/>
                              <w:marBottom w:val="0"/>
                              <w:divBdr>
                                <w:top w:val="none" w:sz="0" w:space="0" w:color="auto"/>
                                <w:left w:val="none" w:sz="0" w:space="0" w:color="auto"/>
                                <w:bottom w:val="none" w:sz="0" w:space="0" w:color="auto"/>
                                <w:right w:val="none" w:sz="0" w:space="0" w:color="auto"/>
                              </w:divBdr>
                              <w:divsChild>
                                <w:div w:id="1746411096">
                                  <w:marLeft w:val="0"/>
                                  <w:marRight w:val="0"/>
                                  <w:marTop w:val="0"/>
                                  <w:marBottom w:val="0"/>
                                  <w:divBdr>
                                    <w:top w:val="none" w:sz="0" w:space="0" w:color="auto"/>
                                    <w:left w:val="none" w:sz="0" w:space="0" w:color="auto"/>
                                    <w:bottom w:val="none" w:sz="0" w:space="0" w:color="auto"/>
                                    <w:right w:val="none" w:sz="0" w:space="0" w:color="auto"/>
                                  </w:divBdr>
                                  <w:divsChild>
                                    <w:div w:id="20651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509999">
      <w:bodyDiv w:val="1"/>
      <w:marLeft w:val="0"/>
      <w:marRight w:val="0"/>
      <w:marTop w:val="0"/>
      <w:marBottom w:val="0"/>
      <w:divBdr>
        <w:top w:val="none" w:sz="0" w:space="0" w:color="auto"/>
        <w:left w:val="none" w:sz="0" w:space="0" w:color="auto"/>
        <w:bottom w:val="none" w:sz="0" w:space="0" w:color="auto"/>
        <w:right w:val="none" w:sz="0" w:space="0" w:color="auto"/>
      </w:divBdr>
    </w:div>
    <w:div w:id="1194878335">
      <w:bodyDiv w:val="1"/>
      <w:marLeft w:val="0"/>
      <w:marRight w:val="0"/>
      <w:marTop w:val="0"/>
      <w:marBottom w:val="0"/>
      <w:divBdr>
        <w:top w:val="none" w:sz="0" w:space="0" w:color="auto"/>
        <w:left w:val="none" w:sz="0" w:space="0" w:color="auto"/>
        <w:bottom w:val="none" w:sz="0" w:space="0" w:color="auto"/>
        <w:right w:val="none" w:sz="0" w:space="0" w:color="auto"/>
      </w:divBdr>
    </w:div>
    <w:div w:id="1426877377">
      <w:bodyDiv w:val="1"/>
      <w:marLeft w:val="0"/>
      <w:marRight w:val="0"/>
      <w:marTop w:val="0"/>
      <w:marBottom w:val="0"/>
      <w:divBdr>
        <w:top w:val="none" w:sz="0" w:space="0" w:color="auto"/>
        <w:left w:val="none" w:sz="0" w:space="0" w:color="auto"/>
        <w:bottom w:val="none" w:sz="0" w:space="0" w:color="auto"/>
        <w:right w:val="none" w:sz="0" w:space="0" w:color="auto"/>
      </w:divBdr>
    </w:div>
    <w:div w:id="1836798670">
      <w:bodyDiv w:val="1"/>
      <w:marLeft w:val="0"/>
      <w:marRight w:val="0"/>
      <w:marTop w:val="0"/>
      <w:marBottom w:val="0"/>
      <w:divBdr>
        <w:top w:val="none" w:sz="0" w:space="0" w:color="auto"/>
        <w:left w:val="none" w:sz="0" w:space="0" w:color="auto"/>
        <w:bottom w:val="none" w:sz="0" w:space="0" w:color="auto"/>
        <w:right w:val="none" w:sz="0" w:space="0" w:color="auto"/>
      </w:divBdr>
    </w:div>
    <w:div w:id="2040273987">
      <w:bodyDiv w:val="1"/>
      <w:marLeft w:val="0"/>
      <w:marRight w:val="0"/>
      <w:marTop w:val="0"/>
      <w:marBottom w:val="0"/>
      <w:divBdr>
        <w:top w:val="none" w:sz="0" w:space="0" w:color="auto"/>
        <w:left w:val="none" w:sz="0" w:space="0" w:color="auto"/>
        <w:bottom w:val="none" w:sz="0" w:space="0" w:color="auto"/>
        <w:right w:val="none" w:sz="0" w:space="0" w:color="auto"/>
      </w:divBdr>
    </w:div>
    <w:div w:id="2101950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2147/PRBM.S379378" TargetMode="External"/><Relationship Id="rId26" Type="http://schemas.openxmlformats.org/officeDocument/2006/relationships/hyperlink" Target="https://doi.org/10.1007/s10639-019-09863-w" TargetMode="External"/><Relationship Id="rId21" Type="http://schemas.openxmlformats.org/officeDocument/2006/relationships/hyperlink" Target="https://doi.org/10.1002/asi.21525" TargetMode="External"/><Relationship Id="rId34" Type="http://schemas.openxmlformats.org/officeDocument/2006/relationships/hyperlink" Target="https://doi.org/10.1007/978-1-4614-2018-7_7" TargetMode="External"/><Relationship Id="rId7" Type="http://schemas.openxmlformats.org/officeDocument/2006/relationships/hyperlink" Target="https://orcid.org/0000-0002-9601-7434" TargetMode="External"/><Relationship Id="rId12" Type="http://schemas.openxmlformats.org/officeDocument/2006/relationships/image" Target="media/image4.png"/><Relationship Id="rId17" Type="http://schemas.openxmlformats.org/officeDocument/2006/relationships/hyperlink" Target="https://doi.org/10.1016/j.joi.2017.08.007" TargetMode="External"/><Relationship Id="rId25" Type="http://schemas.openxmlformats.org/officeDocument/2006/relationships/hyperlink" Target="https://doi.org/10.1177/23328584211003164" TargetMode="External"/><Relationship Id="rId33" Type="http://schemas.openxmlformats.org/officeDocument/2006/relationships/hyperlink" Target="https://doi.org/10.3390/systems12080281" TargetMode="External"/><Relationship Id="rId2" Type="http://schemas.openxmlformats.org/officeDocument/2006/relationships/styles" Target="styles.xml"/><Relationship Id="rId16" Type="http://schemas.openxmlformats.org/officeDocument/2006/relationships/hyperlink" Target="https://doi.org/10.1177/00315125241248709" TargetMode="External"/><Relationship Id="rId20" Type="http://schemas.openxmlformats.org/officeDocument/2006/relationships/hyperlink" Target="https://doi.org/10.1007/BF02019280" TargetMode="External"/><Relationship Id="rId29" Type="http://schemas.openxmlformats.org/officeDocument/2006/relationships/hyperlink" Target="https://doi.org/10.3389/fpsyg.2020.57949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doi.org/10.4102/ajod.v9i0.647" TargetMode="External"/><Relationship Id="rId32" Type="http://schemas.openxmlformats.org/officeDocument/2006/relationships/hyperlink" Target="https://doi.org/10.1371/journal.pone.0257346"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007/s10734-020-00657-5" TargetMode="External"/><Relationship Id="rId28" Type="http://schemas.openxmlformats.org/officeDocument/2006/relationships/hyperlink" Target="https://doi.org/10.1177/1069072717748667"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1002/asi.22990" TargetMode="External"/><Relationship Id="rId31" Type="http://schemas.openxmlformats.org/officeDocument/2006/relationships/hyperlink" Target="https://doi.org/10.1007/s11159-019-09793-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080/03075079.2021.1983533" TargetMode="External"/><Relationship Id="rId27" Type="http://schemas.openxmlformats.org/officeDocument/2006/relationships/hyperlink" Target="https://doi.org/10.1080/00220480009596759" TargetMode="External"/><Relationship Id="rId30" Type="http://schemas.openxmlformats.org/officeDocument/2006/relationships/hyperlink" Target="https://doi.org/10.1136/bmj.b2535" TargetMode="External"/><Relationship Id="rId35" Type="http://schemas.openxmlformats.org/officeDocument/2006/relationships/hyperlink" Target="https://doi.org/10.1007/978-3-031-17299-1_2630" TargetMode="External"/><Relationship Id="rId8" Type="http://schemas.openxmlformats.org/officeDocument/2006/relationships/hyperlink" Target="https://orcid.org/0000-0002-1440-887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BB347-91FB-47E6-A00A-6BCEE7C8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6502</Words>
  <Characters>37063</Characters>
  <Application>Microsoft Office Word</Application>
  <DocSecurity>0</DocSecurity>
  <Lines>308</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House</cp:lastModifiedBy>
  <cp:revision>5</cp:revision>
  <cp:lastPrinted>2023-08-03T20:38:00Z</cp:lastPrinted>
  <dcterms:created xsi:type="dcterms:W3CDTF">2026-10-10T21:46:00Z</dcterms:created>
  <dcterms:modified xsi:type="dcterms:W3CDTF">2026-10-12T15:47:00Z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0F8D951C7E660C5ECF3A716A9795E0A0_43</vt:lpwstr>
  </property>
</Properties>
</file>